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1767" w:firstLineChars="400"/>
        <w:rPr>
          <w:rFonts w:hint="eastAsia"/>
          <w:lang w:eastAsia="zh-CN"/>
        </w:rPr>
      </w:pPr>
      <w:bookmarkStart w:id="0" w:name="_Toc29362"/>
      <w:r>
        <w:rPr>
          <w:rFonts w:hint="eastAsia"/>
          <w:lang w:eastAsia="zh-CN"/>
        </w:rPr>
        <w:t>护理专业人才培养方案</w:t>
      </w:r>
      <w:bookmarkEnd w:id="0"/>
    </w:p>
    <w:sdt>
      <w:sdtPr>
        <w:rPr>
          <w:rFonts w:ascii="宋体" w:hAnsi="宋体" w:eastAsia="宋体" w:cstheme="minorBidi"/>
          <w:kern w:val="2"/>
          <w:sz w:val="21"/>
          <w:szCs w:val="24"/>
          <w:lang w:val="en-US" w:eastAsia="zh-CN" w:bidi="ar-SA"/>
        </w:rPr>
        <w:id w:val="147461065"/>
        <w15:color w:val="DBDBDB"/>
        <w:docPartObj>
          <w:docPartGallery w:val="Table of Contents"/>
          <w:docPartUnique/>
        </w:docPartObj>
      </w:sdtPr>
      <w:sdtEndPr>
        <w:rPr>
          <w:rFonts w:hint="eastAsia" w:asciiTheme="minorHAnsi" w:hAnsiTheme="minorHAnsi" w:eastAsiaTheme="minorEastAsia" w:cstheme="minorBidi"/>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
            <w:tabs>
              <w:tab w:val="right" w:leader="dot" w:pos="8306"/>
            </w:tabs>
          </w:pPr>
          <w:r>
            <w:rPr>
              <w:rFonts w:hint="eastAsia"/>
              <w:lang w:eastAsia="zh-CN"/>
            </w:rPr>
            <w:fldChar w:fldCharType="begin"/>
          </w:r>
          <w:r>
            <w:rPr>
              <w:rFonts w:hint="eastAsia"/>
              <w:lang w:eastAsia="zh-CN"/>
            </w:rPr>
            <w:instrText xml:space="preserve">TOC \o "1-2"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_Toc29362 </w:instrText>
          </w:r>
          <w:r>
            <w:rPr>
              <w:rFonts w:hint="eastAsia"/>
              <w:lang w:eastAsia="zh-CN"/>
            </w:rPr>
            <w:fldChar w:fldCharType="separate"/>
          </w:r>
          <w:r>
            <w:rPr>
              <w:rFonts w:hint="eastAsia"/>
              <w:lang w:eastAsia="zh-CN"/>
            </w:rPr>
            <w:t>护理专业人才培养方案</w:t>
          </w:r>
          <w:r>
            <w:tab/>
          </w:r>
          <w:r>
            <w:fldChar w:fldCharType="begin"/>
          </w:r>
          <w:r>
            <w:instrText xml:space="preserve"> PAGEREF _Toc29362 </w:instrText>
          </w:r>
          <w:r>
            <w:fldChar w:fldCharType="separate"/>
          </w:r>
          <w:r>
            <w:t>1</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_Toc6752 </w:instrText>
          </w:r>
          <w:r>
            <w:rPr>
              <w:rFonts w:hint="eastAsia"/>
              <w:lang w:eastAsia="zh-CN"/>
            </w:rPr>
            <w:fldChar w:fldCharType="separate"/>
          </w:r>
          <w:r>
            <w:rPr>
              <w:rFonts w:hint="eastAsia" w:ascii="宋体" w:hAnsi="宋体" w:eastAsia="宋体" w:cs="宋体"/>
              <w:bCs/>
              <w:szCs w:val="36"/>
            </w:rPr>
            <w:t>护理专业人才培养方案</w:t>
          </w:r>
          <w:r>
            <w:tab/>
          </w:r>
          <w:r>
            <w:fldChar w:fldCharType="begin"/>
          </w:r>
          <w:r>
            <w:instrText xml:space="preserve"> PAGEREF _Toc6752 </w:instrText>
          </w:r>
          <w:r>
            <w:fldChar w:fldCharType="separate"/>
          </w:r>
          <w:r>
            <w:t>3</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_Toc6471 </w:instrText>
          </w:r>
          <w:r>
            <w:rPr>
              <w:rFonts w:hint="eastAsia"/>
              <w:lang w:eastAsia="zh-CN"/>
            </w:rPr>
            <w:fldChar w:fldCharType="separate"/>
          </w:r>
          <w:r>
            <w:rPr>
              <w:rFonts w:hint="eastAsia" w:ascii="宋体" w:hAnsi="宋体" w:eastAsia="宋体" w:cs="宋体"/>
              <w:bCs/>
              <w:szCs w:val="24"/>
              <w:lang w:eastAsia="zh-CN"/>
            </w:rPr>
            <w:t>一、专业名称及代码</w:t>
          </w:r>
          <w:r>
            <w:tab/>
          </w:r>
          <w:r>
            <w:fldChar w:fldCharType="begin"/>
          </w:r>
          <w:r>
            <w:instrText xml:space="preserve"> PAGEREF _Toc6471 </w:instrText>
          </w:r>
          <w:r>
            <w:fldChar w:fldCharType="separate"/>
          </w:r>
          <w:r>
            <w:t>3</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_Toc8690 </w:instrText>
          </w:r>
          <w:r>
            <w:rPr>
              <w:rFonts w:hint="eastAsia"/>
              <w:lang w:eastAsia="zh-CN"/>
            </w:rPr>
            <w:fldChar w:fldCharType="separate"/>
          </w:r>
          <w:r>
            <w:rPr>
              <w:rFonts w:hint="eastAsia" w:ascii="宋体" w:hAnsi="宋体" w:eastAsia="宋体" w:cs="宋体"/>
              <w:bCs/>
              <w:szCs w:val="24"/>
              <w:lang w:eastAsia="zh-CN"/>
            </w:rPr>
            <w:t>二、入学要求</w:t>
          </w:r>
          <w:r>
            <w:tab/>
          </w:r>
          <w:r>
            <w:fldChar w:fldCharType="begin"/>
          </w:r>
          <w:r>
            <w:instrText xml:space="preserve"> PAGEREF _Toc8690 </w:instrText>
          </w:r>
          <w:r>
            <w:fldChar w:fldCharType="separate"/>
          </w:r>
          <w:r>
            <w:t>3</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_Toc576 </w:instrText>
          </w:r>
          <w:r>
            <w:rPr>
              <w:rFonts w:hint="eastAsia"/>
              <w:lang w:eastAsia="zh-CN"/>
            </w:rPr>
            <w:fldChar w:fldCharType="separate"/>
          </w:r>
          <w:r>
            <w:rPr>
              <w:rFonts w:hint="eastAsia" w:ascii="宋体" w:hAnsi="宋体" w:eastAsia="宋体" w:cs="宋体"/>
              <w:bCs/>
              <w:szCs w:val="24"/>
              <w:lang w:eastAsia="zh-CN"/>
            </w:rPr>
            <w:t>三、修业年限</w:t>
          </w:r>
          <w:r>
            <w:tab/>
          </w:r>
          <w:r>
            <w:fldChar w:fldCharType="begin"/>
          </w:r>
          <w:r>
            <w:instrText xml:space="preserve"> PAGEREF _Toc576 </w:instrText>
          </w:r>
          <w:r>
            <w:fldChar w:fldCharType="separate"/>
          </w:r>
          <w:r>
            <w:t>3</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_Toc4886 </w:instrText>
          </w:r>
          <w:r>
            <w:rPr>
              <w:rFonts w:hint="eastAsia"/>
              <w:lang w:eastAsia="zh-CN"/>
            </w:rPr>
            <w:fldChar w:fldCharType="separate"/>
          </w:r>
          <w:r>
            <w:rPr>
              <w:rFonts w:hint="eastAsia" w:ascii="宋体" w:hAnsi="宋体" w:eastAsia="宋体" w:cs="宋体"/>
              <w:bCs/>
              <w:szCs w:val="24"/>
              <w:lang w:eastAsia="zh-CN"/>
            </w:rPr>
            <w:t>四、职业面向</w:t>
          </w:r>
          <w:r>
            <w:tab/>
          </w:r>
          <w:r>
            <w:fldChar w:fldCharType="begin"/>
          </w:r>
          <w:r>
            <w:instrText xml:space="preserve"> PAGEREF _Toc4886 </w:instrText>
          </w:r>
          <w:r>
            <w:fldChar w:fldCharType="separate"/>
          </w:r>
          <w:r>
            <w:t>3</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_Toc10567 </w:instrText>
          </w:r>
          <w:r>
            <w:rPr>
              <w:rFonts w:hint="eastAsia"/>
              <w:lang w:eastAsia="zh-CN"/>
            </w:rPr>
            <w:fldChar w:fldCharType="separate"/>
          </w:r>
          <w:r>
            <w:rPr>
              <w:rFonts w:hint="eastAsia" w:ascii="宋体" w:hAnsi="宋体" w:eastAsia="宋体" w:cs="宋体"/>
              <w:bCs/>
              <w:szCs w:val="24"/>
              <w:lang w:eastAsia="zh-CN"/>
            </w:rPr>
            <w:t>五、培养目标与规格</w:t>
          </w:r>
          <w:r>
            <w:tab/>
          </w:r>
          <w:r>
            <w:fldChar w:fldCharType="begin"/>
          </w:r>
          <w:r>
            <w:instrText xml:space="preserve"> PAGEREF _Toc10567 </w:instrText>
          </w:r>
          <w:r>
            <w:fldChar w:fldCharType="separate"/>
          </w:r>
          <w:r>
            <w:t>3</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_Toc13000 </w:instrText>
          </w:r>
          <w:r>
            <w:rPr>
              <w:rFonts w:hint="eastAsia"/>
              <w:lang w:eastAsia="zh-CN"/>
            </w:rPr>
            <w:fldChar w:fldCharType="separate"/>
          </w:r>
          <w:r>
            <w:rPr>
              <w:rFonts w:hint="eastAsia" w:ascii="宋体" w:hAnsi="宋体" w:eastAsia="宋体" w:cs="宋体"/>
              <w:szCs w:val="24"/>
              <w:lang w:eastAsia="zh-CN"/>
            </w:rPr>
            <w:t>（一）培养目标</w:t>
          </w:r>
          <w:r>
            <w:tab/>
          </w:r>
          <w:r>
            <w:fldChar w:fldCharType="begin"/>
          </w:r>
          <w:r>
            <w:instrText xml:space="preserve"> PAGEREF _Toc13000 </w:instrText>
          </w:r>
          <w:r>
            <w:fldChar w:fldCharType="separate"/>
          </w:r>
          <w:r>
            <w:t>3</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_Toc32633 </w:instrText>
          </w:r>
          <w:r>
            <w:rPr>
              <w:rFonts w:hint="eastAsia"/>
              <w:lang w:eastAsia="zh-CN"/>
            </w:rPr>
            <w:fldChar w:fldCharType="separate"/>
          </w:r>
          <w:r>
            <w:rPr>
              <w:rFonts w:hint="eastAsia" w:ascii="宋体" w:hAnsi="宋体" w:eastAsia="宋体" w:cs="宋体"/>
              <w:szCs w:val="24"/>
              <w:lang w:eastAsia="zh-CN"/>
            </w:rPr>
            <w:t>（二）培养规格</w:t>
          </w:r>
          <w:r>
            <w:tab/>
          </w:r>
          <w:r>
            <w:fldChar w:fldCharType="begin"/>
          </w:r>
          <w:r>
            <w:instrText xml:space="preserve"> PAGEREF _Toc32633 </w:instrText>
          </w:r>
          <w:r>
            <w:fldChar w:fldCharType="separate"/>
          </w:r>
          <w:r>
            <w:t>3</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_Toc13695 </w:instrText>
          </w:r>
          <w:r>
            <w:rPr>
              <w:rFonts w:hint="eastAsia"/>
              <w:lang w:eastAsia="zh-CN"/>
            </w:rPr>
            <w:fldChar w:fldCharType="separate"/>
          </w:r>
          <w:r>
            <w:rPr>
              <w:rFonts w:hint="eastAsia" w:ascii="宋体" w:hAnsi="宋体" w:eastAsia="宋体" w:cs="宋体"/>
              <w:bCs/>
              <w:szCs w:val="24"/>
              <w:lang w:eastAsia="zh-CN"/>
            </w:rPr>
            <w:t>六、主要续接专业</w:t>
          </w:r>
          <w:r>
            <w:tab/>
          </w:r>
          <w:r>
            <w:fldChar w:fldCharType="begin"/>
          </w:r>
          <w:r>
            <w:instrText xml:space="preserve"> PAGEREF _Toc13695 </w:instrText>
          </w:r>
          <w:r>
            <w:fldChar w:fldCharType="separate"/>
          </w:r>
          <w:r>
            <w:t>5</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_Toc30734 </w:instrText>
          </w:r>
          <w:r>
            <w:rPr>
              <w:rFonts w:hint="eastAsia"/>
              <w:lang w:eastAsia="zh-CN"/>
            </w:rPr>
            <w:fldChar w:fldCharType="separate"/>
          </w:r>
          <w:r>
            <w:rPr>
              <w:rFonts w:hint="eastAsia" w:ascii="宋体" w:hAnsi="宋体" w:eastAsia="宋体" w:cs="宋体"/>
              <w:bCs/>
              <w:szCs w:val="24"/>
              <w:lang w:eastAsia="zh-CN"/>
            </w:rPr>
            <w:t>七、课程设置</w:t>
          </w:r>
          <w:r>
            <w:tab/>
          </w:r>
          <w:r>
            <w:fldChar w:fldCharType="begin"/>
          </w:r>
          <w:r>
            <w:instrText xml:space="preserve"> PAGEREF _Toc30734 </w:instrText>
          </w:r>
          <w:r>
            <w:fldChar w:fldCharType="separate"/>
          </w:r>
          <w:r>
            <w:t>5</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_Toc6055 </w:instrText>
          </w:r>
          <w:r>
            <w:rPr>
              <w:rFonts w:hint="eastAsia"/>
              <w:lang w:eastAsia="zh-CN"/>
            </w:rPr>
            <w:fldChar w:fldCharType="separate"/>
          </w:r>
          <w:r>
            <w:rPr>
              <w:rFonts w:hint="eastAsia" w:ascii="宋体" w:hAnsi="宋体" w:eastAsia="宋体" w:cs="宋体"/>
              <w:szCs w:val="24"/>
              <w:lang w:eastAsia="zh-CN"/>
            </w:rPr>
            <w:t>（一） 公共基础课</w:t>
          </w:r>
          <w:r>
            <w:tab/>
          </w:r>
          <w:r>
            <w:fldChar w:fldCharType="begin"/>
          </w:r>
          <w:r>
            <w:instrText xml:space="preserve"> PAGEREF _Toc6055 </w:instrText>
          </w:r>
          <w:r>
            <w:fldChar w:fldCharType="separate"/>
          </w:r>
          <w:r>
            <w:t>5</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_Toc893 </w:instrText>
          </w:r>
          <w:r>
            <w:rPr>
              <w:rFonts w:hint="eastAsia"/>
              <w:lang w:eastAsia="zh-CN"/>
            </w:rPr>
            <w:fldChar w:fldCharType="separate"/>
          </w:r>
          <w:r>
            <w:rPr>
              <w:rFonts w:hint="eastAsia" w:ascii="宋体" w:hAnsi="宋体" w:eastAsia="宋体" w:cs="宋体"/>
              <w:szCs w:val="24"/>
              <w:lang w:eastAsia="zh-CN"/>
            </w:rPr>
            <w:t>（二） 专业核心课</w:t>
          </w:r>
          <w:r>
            <w:tab/>
          </w:r>
          <w:r>
            <w:fldChar w:fldCharType="begin"/>
          </w:r>
          <w:r>
            <w:instrText xml:space="preserve"> PAGEREF _Toc893 </w:instrText>
          </w:r>
          <w:r>
            <w:fldChar w:fldCharType="separate"/>
          </w:r>
          <w:r>
            <w:t>6</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_Toc7882 </w:instrText>
          </w:r>
          <w:r>
            <w:rPr>
              <w:rFonts w:hint="eastAsia"/>
              <w:lang w:eastAsia="zh-CN"/>
            </w:rPr>
            <w:fldChar w:fldCharType="separate"/>
          </w:r>
          <w:r>
            <w:rPr>
              <w:rFonts w:hint="eastAsia" w:ascii="宋体" w:hAnsi="宋体" w:eastAsia="宋体" w:cs="宋体"/>
              <w:szCs w:val="24"/>
              <w:lang w:eastAsia="zh-CN"/>
            </w:rPr>
            <w:t>（三） 专业选修课</w:t>
          </w:r>
          <w:r>
            <w:tab/>
          </w:r>
          <w:r>
            <w:fldChar w:fldCharType="begin"/>
          </w:r>
          <w:r>
            <w:instrText xml:space="preserve"> PAGEREF _Toc7882 </w:instrText>
          </w:r>
          <w:r>
            <w:fldChar w:fldCharType="separate"/>
          </w:r>
          <w:r>
            <w:t>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_Toc13412 </w:instrText>
          </w:r>
          <w:r>
            <w:rPr>
              <w:rFonts w:hint="eastAsia"/>
              <w:lang w:eastAsia="zh-CN"/>
            </w:rPr>
            <w:fldChar w:fldCharType="separate"/>
          </w:r>
          <w:r>
            <w:rPr>
              <w:rFonts w:hint="eastAsia" w:ascii="宋体" w:hAnsi="宋体" w:eastAsia="宋体" w:cs="宋体"/>
              <w:szCs w:val="24"/>
              <w:lang w:eastAsia="zh-CN"/>
            </w:rPr>
            <w:t>（四）综合实训</w:t>
          </w:r>
          <w:r>
            <w:tab/>
          </w:r>
          <w:r>
            <w:fldChar w:fldCharType="begin"/>
          </w:r>
          <w:r>
            <w:instrText xml:space="preserve"> PAGEREF _Toc13412 </w:instrText>
          </w:r>
          <w:r>
            <w:fldChar w:fldCharType="separate"/>
          </w:r>
          <w:r>
            <w:t>9</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_Toc29000 </w:instrText>
          </w:r>
          <w:r>
            <w:rPr>
              <w:rFonts w:hint="eastAsia"/>
              <w:lang w:eastAsia="zh-CN"/>
            </w:rPr>
            <w:fldChar w:fldCharType="separate"/>
          </w:r>
          <w:r>
            <w:rPr>
              <w:rFonts w:hint="eastAsia" w:ascii="宋体" w:hAnsi="宋体" w:eastAsia="宋体" w:cs="宋体"/>
              <w:szCs w:val="24"/>
              <w:lang w:eastAsia="zh-CN"/>
            </w:rPr>
            <w:t>（五）毕业实习</w:t>
          </w:r>
          <w:r>
            <w:tab/>
          </w:r>
          <w:r>
            <w:fldChar w:fldCharType="begin"/>
          </w:r>
          <w:r>
            <w:instrText xml:space="preserve"> PAGEREF _Toc29000 </w:instrText>
          </w:r>
          <w:r>
            <w:fldChar w:fldCharType="separate"/>
          </w:r>
          <w:r>
            <w:t>9</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_Toc25846 </w:instrText>
          </w:r>
          <w:r>
            <w:rPr>
              <w:rFonts w:hint="eastAsia"/>
              <w:lang w:eastAsia="zh-CN"/>
            </w:rPr>
            <w:fldChar w:fldCharType="separate"/>
          </w:r>
          <w:r>
            <w:rPr>
              <w:rFonts w:hint="eastAsia" w:ascii="宋体" w:hAnsi="宋体" w:eastAsia="宋体" w:cs="宋体"/>
              <w:bCs/>
              <w:szCs w:val="24"/>
              <w:lang w:eastAsia="zh-CN"/>
            </w:rPr>
            <w:t>八、学时安排</w:t>
          </w:r>
          <w:r>
            <w:tab/>
          </w:r>
          <w:r>
            <w:fldChar w:fldCharType="begin"/>
          </w:r>
          <w:r>
            <w:instrText xml:space="preserve"> PAGEREF _Toc25846 </w:instrText>
          </w:r>
          <w:r>
            <w:fldChar w:fldCharType="separate"/>
          </w:r>
          <w:r>
            <w:t>9</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_Toc24717 </w:instrText>
          </w:r>
          <w:r>
            <w:rPr>
              <w:rFonts w:hint="eastAsia"/>
              <w:lang w:eastAsia="zh-CN"/>
            </w:rPr>
            <w:fldChar w:fldCharType="separate"/>
          </w:r>
          <w:r>
            <w:rPr>
              <w:rFonts w:hint="eastAsia" w:ascii="宋体" w:hAnsi="宋体" w:eastAsia="宋体" w:cs="宋体"/>
              <w:bCs/>
              <w:szCs w:val="24"/>
              <w:lang w:eastAsia="zh-CN"/>
            </w:rPr>
            <w:t>九、教学进程总体安排</w:t>
          </w:r>
          <w:r>
            <w:tab/>
          </w:r>
          <w:r>
            <w:fldChar w:fldCharType="begin"/>
          </w:r>
          <w:r>
            <w:instrText xml:space="preserve"> PAGEREF _Toc24717 </w:instrText>
          </w:r>
          <w:r>
            <w:fldChar w:fldCharType="separate"/>
          </w:r>
          <w:r>
            <w:t>10</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_Toc10449 </w:instrText>
          </w:r>
          <w:r>
            <w:rPr>
              <w:rFonts w:hint="eastAsia"/>
              <w:lang w:eastAsia="zh-CN"/>
            </w:rPr>
            <w:fldChar w:fldCharType="separate"/>
          </w:r>
          <w:r>
            <w:rPr>
              <w:rFonts w:hint="eastAsia" w:ascii="宋体" w:hAnsi="宋体" w:eastAsia="宋体" w:cs="宋体"/>
              <w:szCs w:val="24"/>
              <w:lang w:eastAsia="zh-CN"/>
            </w:rPr>
            <w:t>（一） 教学进程总体安排</w:t>
          </w:r>
          <w:r>
            <w:tab/>
          </w:r>
          <w:r>
            <w:fldChar w:fldCharType="begin"/>
          </w:r>
          <w:r>
            <w:instrText xml:space="preserve"> PAGEREF _Toc10449 </w:instrText>
          </w:r>
          <w:r>
            <w:fldChar w:fldCharType="separate"/>
          </w:r>
          <w:r>
            <w:t>10</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_Toc8734 </w:instrText>
          </w:r>
          <w:r>
            <w:rPr>
              <w:rFonts w:hint="eastAsia"/>
              <w:lang w:eastAsia="zh-CN"/>
            </w:rPr>
            <w:fldChar w:fldCharType="separate"/>
          </w:r>
          <w:r>
            <w:rPr>
              <w:rFonts w:hint="eastAsia" w:ascii="宋体" w:hAnsi="宋体" w:eastAsia="宋体" w:cs="宋体"/>
              <w:szCs w:val="24"/>
              <w:lang w:eastAsia="zh-CN"/>
            </w:rPr>
            <w:t>（二） 教学进程安排</w:t>
          </w:r>
          <w:r>
            <w:tab/>
          </w:r>
          <w:r>
            <w:fldChar w:fldCharType="begin"/>
          </w:r>
          <w:r>
            <w:instrText xml:space="preserve"> PAGEREF _Toc8734 </w:instrText>
          </w:r>
          <w:r>
            <w:fldChar w:fldCharType="separate"/>
          </w:r>
          <w:r>
            <w:t>11</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_Toc30295 </w:instrText>
          </w:r>
          <w:r>
            <w:rPr>
              <w:rFonts w:hint="eastAsia"/>
              <w:lang w:eastAsia="zh-CN"/>
            </w:rPr>
            <w:fldChar w:fldCharType="separate"/>
          </w:r>
          <w:r>
            <w:rPr>
              <w:rFonts w:hint="eastAsia" w:ascii="宋体" w:hAnsi="宋体" w:eastAsia="宋体" w:cs="宋体"/>
              <w:bCs/>
              <w:szCs w:val="24"/>
              <w:lang w:eastAsia="zh-CN"/>
            </w:rPr>
            <w:t>十、实施保障</w:t>
          </w:r>
          <w:r>
            <w:tab/>
          </w:r>
          <w:r>
            <w:fldChar w:fldCharType="begin"/>
          </w:r>
          <w:r>
            <w:instrText xml:space="preserve"> PAGEREF _Toc30295 </w:instrText>
          </w:r>
          <w:r>
            <w:fldChar w:fldCharType="separate"/>
          </w:r>
          <w:r>
            <w:t>12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_Toc22014 </w:instrText>
          </w:r>
          <w:r>
            <w:rPr>
              <w:rFonts w:hint="eastAsia"/>
              <w:lang w:eastAsia="zh-CN"/>
            </w:rPr>
            <w:fldChar w:fldCharType="separate"/>
          </w:r>
          <w:r>
            <w:rPr>
              <w:rFonts w:hint="eastAsia" w:ascii="宋体" w:hAnsi="宋体" w:eastAsia="宋体" w:cs="宋体"/>
              <w:szCs w:val="24"/>
              <w:lang w:eastAsia="zh-CN"/>
            </w:rPr>
            <w:t>（一）师资队伍</w:t>
          </w:r>
          <w:r>
            <w:tab/>
          </w:r>
          <w:r>
            <w:fldChar w:fldCharType="begin"/>
          </w:r>
          <w:r>
            <w:instrText xml:space="preserve"> PAGEREF _Toc22014 </w:instrText>
          </w:r>
          <w:r>
            <w:fldChar w:fldCharType="separate"/>
          </w:r>
          <w:r>
            <w:t>12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_Toc3077 </w:instrText>
          </w:r>
          <w:r>
            <w:rPr>
              <w:rFonts w:hint="eastAsia"/>
              <w:lang w:eastAsia="zh-CN"/>
            </w:rPr>
            <w:fldChar w:fldCharType="separate"/>
          </w:r>
          <w:r>
            <w:rPr>
              <w:rFonts w:hint="eastAsia" w:ascii="宋体" w:hAnsi="宋体" w:eastAsia="宋体" w:cs="宋体"/>
              <w:szCs w:val="24"/>
              <w:lang w:eastAsia="zh-CN"/>
            </w:rPr>
            <w:t>（二）教学设施</w:t>
          </w:r>
          <w:r>
            <w:tab/>
          </w:r>
          <w:r>
            <w:fldChar w:fldCharType="begin"/>
          </w:r>
          <w:r>
            <w:instrText xml:space="preserve"> PAGEREF _Toc3077 </w:instrText>
          </w:r>
          <w:r>
            <w:fldChar w:fldCharType="separate"/>
          </w:r>
          <w:r>
            <w:t>12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_Toc27951 </w:instrText>
          </w:r>
          <w:r>
            <w:rPr>
              <w:rFonts w:hint="eastAsia"/>
              <w:lang w:eastAsia="zh-CN"/>
            </w:rPr>
            <w:fldChar w:fldCharType="separate"/>
          </w:r>
          <w:r>
            <w:rPr>
              <w:rFonts w:hint="eastAsia" w:ascii="宋体" w:hAnsi="宋体" w:eastAsia="宋体" w:cs="宋体"/>
              <w:szCs w:val="24"/>
              <w:lang w:eastAsia="zh-CN"/>
            </w:rPr>
            <w:t>（三）教学资源</w:t>
          </w:r>
          <w:r>
            <w:tab/>
          </w:r>
          <w:r>
            <w:fldChar w:fldCharType="begin"/>
          </w:r>
          <w:r>
            <w:instrText xml:space="preserve"> PAGEREF _Toc27951 </w:instrText>
          </w:r>
          <w:r>
            <w:fldChar w:fldCharType="separate"/>
          </w:r>
          <w:r>
            <w:t>16</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_Toc31074 </w:instrText>
          </w:r>
          <w:r>
            <w:rPr>
              <w:rFonts w:hint="eastAsia"/>
              <w:lang w:eastAsia="zh-CN"/>
            </w:rPr>
            <w:fldChar w:fldCharType="separate"/>
          </w:r>
          <w:r>
            <w:rPr>
              <w:rFonts w:hint="eastAsia" w:ascii="宋体" w:hAnsi="宋体" w:eastAsia="宋体" w:cs="宋体"/>
              <w:szCs w:val="24"/>
              <w:lang w:eastAsia="zh-CN"/>
            </w:rPr>
            <w:t>（四）教学方法</w:t>
          </w:r>
          <w:r>
            <w:tab/>
          </w:r>
          <w:r>
            <w:fldChar w:fldCharType="begin"/>
          </w:r>
          <w:r>
            <w:instrText xml:space="preserve"> PAGEREF _Toc31074 </w:instrText>
          </w:r>
          <w:r>
            <w:fldChar w:fldCharType="separate"/>
          </w:r>
          <w:r>
            <w:t>16</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_Toc22885 </w:instrText>
          </w:r>
          <w:r>
            <w:rPr>
              <w:rFonts w:hint="eastAsia"/>
              <w:lang w:eastAsia="zh-CN"/>
            </w:rPr>
            <w:fldChar w:fldCharType="separate"/>
          </w:r>
          <w:r>
            <w:rPr>
              <w:rFonts w:hint="eastAsia" w:ascii="宋体" w:hAnsi="宋体" w:eastAsia="宋体" w:cs="宋体"/>
              <w:szCs w:val="24"/>
              <w:lang w:eastAsia="zh-CN"/>
            </w:rPr>
            <w:t>（五）教学评价</w:t>
          </w:r>
          <w:r>
            <w:tab/>
          </w:r>
          <w:r>
            <w:fldChar w:fldCharType="begin"/>
          </w:r>
          <w:r>
            <w:instrText xml:space="preserve"> PAGEREF _Toc22885 </w:instrText>
          </w:r>
          <w:r>
            <w:fldChar w:fldCharType="separate"/>
          </w:r>
          <w:r>
            <w:t>16</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_Toc12406 </w:instrText>
          </w:r>
          <w:r>
            <w:rPr>
              <w:rFonts w:hint="eastAsia"/>
              <w:lang w:eastAsia="zh-CN"/>
            </w:rPr>
            <w:fldChar w:fldCharType="separate"/>
          </w:r>
          <w:r>
            <w:rPr>
              <w:rFonts w:hint="eastAsia" w:ascii="宋体" w:hAnsi="宋体" w:eastAsia="宋体" w:cs="宋体"/>
              <w:szCs w:val="24"/>
              <w:lang w:eastAsia="zh-CN"/>
            </w:rPr>
            <w:t>（六）质量管理</w:t>
          </w:r>
          <w:r>
            <w:tab/>
          </w:r>
          <w:r>
            <w:fldChar w:fldCharType="begin"/>
          </w:r>
          <w:r>
            <w:instrText xml:space="preserve"> PAGEREF _Toc12406 </w:instrText>
          </w:r>
          <w:r>
            <w:fldChar w:fldCharType="separate"/>
          </w:r>
          <w:r>
            <w:t>17</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_Toc30499 </w:instrText>
          </w:r>
          <w:r>
            <w:rPr>
              <w:rFonts w:hint="eastAsia"/>
              <w:lang w:eastAsia="zh-CN"/>
            </w:rPr>
            <w:fldChar w:fldCharType="separate"/>
          </w:r>
          <w:r>
            <w:rPr>
              <w:rFonts w:hint="eastAsia" w:ascii="宋体" w:hAnsi="宋体" w:eastAsia="宋体" w:cs="宋体"/>
              <w:bCs/>
              <w:szCs w:val="24"/>
              <w:lang w:eastAsia="zh-CN"/>
            </w:rPr>
            <w:t>十一、毕业要求</w:t>
          </w:r>
          <w:r>
            <w:tab/>
          </w:r>
          <w:r>
            <w:fldChar w:fldCharType="begin"/>
          </w:r>
          <w:r>
            <w:instrText xml:space="preserve"> PAGEREF _Toc30499 </w:instrText>
          </w:r>
          <w:r>
            <w:fldChar w:fldCharType="separate"/>
          </w:r>
          <w:r>
            <w:t>17</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_Toc27629 </w:instrText>
          </w:r>
          <w:r>
            <w:rPr>
              <w:rFonts w:hint="eastAsia"/>
              <w:lang w:eastAsia="zh-CN"/>
            </w:rPr>
            <w:fldChar w:fldCharType="separate"/>
          </w:r>
          <w:r>
            <w:rPr>
              <w:rFonts w:hint="eastAsia" w:ascii="宋体" w:hAnsi="宋体" w:eastAsia="宋体" w:cs="宋体"/>
              <w:bCs/>
              <w:szCs w:val="24"/>
              <w:lang w:eastAsia="zh-CN"/>
            </w:rPr>
            <w:t>十二、其它</w:t>
          </w:r>
          <w:r>
            <w:tab/>
          </w:r>
          <w:r>
            <w:fldChar w:fldCharType="begin"/>
          </w:r>
          <w:r>
            <w:instrText xml:space="preserve"> PAGEREF _Toc27629 </w:instrText>
          </w:r>
          <w:r>
            <w:fldChar w:fldCharType="separate"/>
          </w:r>
          <w:r>
            <w:t>18</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_Toc28113 </w:instrText>
          </w:r>
          <w:r>
            <w:rPr>
              <w:rFonts w:hint="eastAsia"/>
              <w:lang w:eastAsia="zh-CN"/>
            </w:rPr>
            <w:fldChar w:fldCharType="separate"/>
          </w:r>
          <w:r>
            <w:rPr>
              <w:rFonts w:hint="eastAsia" w:ascii="宋体" w:hAnsi="宋体" w:eastAsia="宋体" w:cs="宋体"/>
              <w:bCs/>
              <w:szCs w:val="24"/>
              <w:lang w:eastAsia="zh-CN"/>
            </w:rPr>
            <w:t>十三、《解剖学基础》课程标准</w:t>
          </w:r>
          <w:r>
            <w:tab/>
          </w:r>
          <w:r>
            <w:fldChar w:fldCharType="begin"/>
          </w:r>
          <w:r>
            <w:instrText xml:space="preserve"> PAGEREF _Toc28113 </w:instrText>
          </w:r>
          <w:r>
            <w:fldChar w:fldCharType="separate"/>
          </w:r>
          <w:r>
            <w:t>18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_Toc22347 </w:instrText>
          </w:r>
          <w:r>
            <w:rPr>
              <w:rFonts w:hint="eastAsia"/>
              <w:lang w:eastAsia="zh-CN"/>
            </w:rPr>
            <w:fldChar w:fldCharType="separate"/>
          </w:r>
          <w:r>
            <w:rPr>
              <w:rFonts w:hint="eastAsia" w:ascii="宋体" w:hAnsi="宋体" w:eastAsia="宋体" w:cs="宋体"/>
              <w:bCs w:val="0"/>
              <w:szCs w:val="24"/>
              <w:lang w:eastAsia="zh-CN"/>
            </w:rPr>
            <w:t>一、前言</w:t>
          </w:r>
          <w:r>
            <w:tab/>
          </w:r>
          <w:r>
            <w:fldChar w:fldCharType="begin"/>
          </w:r>
          <w:r>
            <w:instrText xml:space="preserve"> PAGEREF _Toc22347 </w:instrText>
          </w:r>
          <w:r>
            <w:fldChar w:fldCharType="separate"/>
          </w:r>
          <w:r>
            <w:t>18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_Toc23962 </w:instrText>
          </w:r>
          <w:r>
            <w:rPr>
              <w:rFonts w:hint="eastAsia"/>
              <w:lang w:eastAsia="zh-CN"/>
            </w:rPr>
            <w:fldChar w:fldCharType="separate"/>
          </w:r>
          <w:r>
            <w:rPr>
              <w:rFonts w:hint="eastAsia" w:ascii="宋体" w:hAnsi="宋体" w:eastAsia="宋体" w:cs="宋体"/>
              <w:bCs w:val="0"/>
              <w:szCs w:val="24"/>
              <w:lang w:eastAsia="zh-CN"/>
            </w:rPr>
            <w:t>二、课程目标</w:t>
          </w:r>
          <w:r>
            <w:tab/>
          </w:r>
          <w:r>
            <w:fldChar w:fldCharType="begin"/>
          </w:r>
          <w:r>
            <w:instrText xml:space="preserve"> PAGEREF _Toc23962 </w:instrText>
          </w:r>
          <w:r>
            <w:fldChar w:fldCharType="separate"/>
          </w:r>
          <w:r>
            <w:t>18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_Toc4581 </w:instrText>
          </w:r>
          <w:r>
            <w:rPr>
              <w:rFonts w:hint="eastAsia"/>
              <w:lang w:eastAsia="zh-CN"/>
            </w:rPr>
            <w:fldChar w:fldCharType="separate"/>
          </w:r>
          <w:r>
            <w:rPr>
              <w:rFonts w:hint="eastAsia" w:ascii="宋体" w:hAnsi="宋体" w:eastAsia="宋体" w:cs="宋体"/>
              <w:szCs w:val="24"/>
              <w:lang w:eastAsia="zh-CN"/>
            </w:rPr>
            <w:t>三、 课程内容与要求</w:t>
          </w:r>
          <w:r>
            <w:tab/>
          </w:r>
          <w:r>
            <w:fldChar w:fldCharType="begin"/>
          </w:r>
          <w:r>
            <w:instrText xml:space="preserve"> PAGEREF _Toc4581 </w:instrText>
          </w:r>
          <w:r>
            <w:fldChar w:fldCharType="separate"/>
          </w:r>
          <w:r>
            <w:t>19</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_Toc12554 </w:instrText>
          </w:r>
          <w:r>
            <w:rPr>
              <w:rFonts w:hint="eastAsia"/>
              <w:lang w:eastAsia="zh-CN"/>
            </w:rPr>
            <w:fldChar w:fldCharType="separate"/>
          </w:r>
          <w:r>
            <w:rPr>
              <w:rFonts w:hint="eastAsia" w:ascii="宋体" w:hAnsi="宋体" w:eastAsia="宋体" w:cs="宋体"/>
              <w:szCs w:val="24"/>
              <w:lang w:eastAsia="zh-CN"/>
            </w:rPr>
            <w:t>四、实施建议</w:t>
          </w:r>
          <w:r>
            <w:tab/>
          </w:r>
          <w:r>
            <w:fldChar w:fldCharType="begin"/>
          </w:r>
          <w:r>
            <w:instrText xml:space="preserve"> PAGEREF _Toc12554 </w:instrText>
          </w:r>
          <w:r>
            <w:fldChar w:fldCharType="separate"/>
          </w:r>
          <w:r>
            <w:t>25</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_Toc10873 </w:instrText>
          </w:r>
          <w:r>
            <w:rPr>
              <w:rFonts w:hint="eastAsia"/>
              <w:lang w:eastAsia="zh-CN"/>
            </w:rPr>
            <w:fldChar w:fldCharType="separate"/>
          </w:r>
          <w:r>
            <w:rPr>
              <w:rFonts w:hint="eastAsia" w:ascii="宋体" w:hAnsi="宋体" w:eastAsia="宋体" w:cs="宋体"/>
              <w:szCs w:val="24"/>
              <w:lang w:eastAsia="zh-CN"/>
            </w:rPr>
            <w:t>五、教学要求</w:t>
          </w:r>
          <w:r>
            <w:tab/>
          </w:r>
          <w:r>
            <w:fldChar w:fldCharType="begin"/>
          </w:r>
          <w:r>
            <w:instrText xml:space="preserve"> PAGEREF _Toc10873 </w:instrText>
          </w:r>
          <w:r>
            <w:fldChar w:fldCharType="separate"/>
          </w:r>
          <w:r>
            <w:t>25</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_Toc22723 </w:instrText>
          </w:r>
          <w:r>
            <w:rPr>
              <w:rFonts w:hint="eastAsia"/>
              <w:lang w:eastAsia="zh-CN"/>
            </w:rPr>
            <w:fldChar w:fldCharType="separate"/>
          </w:r>
          <w:r>
            <w:rPr>
              <w:rFonts w:hint="eastAsia" w:ascii="宋体" w:hAnsi="宋体" w:eastAsia="宋体" w:cs="宋体"/>
              <w:bCs/>
              <w:szCs w:val="24"/>
              <w:lang w:eastAsia="zh-CN"/>
            </w:rPr>
            <w:t>十四、《生理学基础》课程标准</w:t>
          </w:r>
          <w:r>
            <w:tab/>
          </w:r>
          <w:r>
            <w:fldChar w:fldCharType="begin"/>
          </w:r>
          <w:r>
            <w:instrText xml:space="preserve"> PAGEREF _Toc22723 </w:instrText>
          </w:r>
          <w:r>
            <w:fldChar w:fldCharType="separate"/>
          </w:r>
          <w:r>
            <w:t>27</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_Toc24723 </w:instrText>
          </w:r>
          <w:r>
            <w:rPr>
              <w:rFonts w:hint="eastAsia"/>
              <w:lang w:eastAsia="zh-CN"/>
            </w:rPr>
            <w:fldChar w:fldCharType="separate"/>
          </w:r>
          <w:r>
            <w:rPr>
              <w:rFonts w:hint="eastAsia" w:ascii="宋体" w:hAnsi="宋体" w:eastAsia="宋体" w:cs="宋体"/>
              <w:szCs w:val="24"/>
              <w:lang w:eastAsia="zh-CN"/>
            </w:rPr>
            <w:t>一、前言</w:t>
          </w:r>
          <w:r>
            <w:tab/>
          </w:r>
          <w:r>
            <w:fldChar w:fldCharType="begin"/>
          </w:r>
          <w:r>
            <w:instrText xml:space="preserve"> PAGEREF _Toc24723 </w:instrText>
          </w:r>
          <w:r>
            <w:fldChar w:fldCharType="separate"/>
          </w:r>
          <w:r>
            <w:t>28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_Toc10696 </w:instrText>
          </w:r>
          <w:r>
            <w:rPr>
              <w:rFonts w:hint="eastAsia"/>
              <w:lang w:eastAsia="zh-CN"/>
            </w:rPr>
            <w:fldChar w:fldCharType="separate"/>
          </w:r>
          <w:r>
            <w:rPr>
              <w:rFonts w:hint="eastAsia" w:ascii="宋体" w:hAnsi="宋体" w:eastAsia="宋体" w:cs="宋体"/>
              <w:szCs w:val="24"/>
              <w:lang w:eastAsia="zh-CN"/>
            </w:rPr>
            <w:t>二、课程目标</w:t>
          </w:r>
          <w:r>
            <w:tab/>
          </w:r>
          <w:r>
            <w:fldChar w:fldCharType="begin"/>
          </w:r>
          <w:r>
            <w:instrText xml:space="preserve"> PAGEREF _Toc10696 </w:instrText>
          </w:r>
          <w:r>
            <w:fldChar w:fldCharType="separate"/>
          </w:r>
          <w:r>
            <w:t>28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_Toc8748 </w:instrText>
          </w:r>
          <w:r>
            <w:rPr>
              <w:rFonts w:hint="eastAsia"/>
              <w:lang w:eastAsia="zh-CN"/>
            </w:rPr>
            <w:fldChar w:fldCharType="separate"/>
          </w:r>
          <w:r>
            <w:rPr>
              <w:rFonts w:hint="eastAsia" w:ascii="宋体" w:hAnsi="宋体" w:eastAsia="宋体" w:cs="宋体"/>
              <w:szCs w:val="24"/>
              <w:lang w:eastAsia="zh-CN"/>
            </w:rPr>
            <w:t>三、课程内容与要求</w:t>
          </w:r>
          <w:r>
            <w:tab/>
          </w:r>
          <w:r>
            <w:fldChar w:fldCharType="begin"/>
          </w:r>
          <w:r>
            <w:instrText xml:space="preserve"> PAGEREF _Toc8748 </w:instrText>
          </w:r>
          <w:r>
            <w:fldChar w:fldCharType="separate"/>
          </w:r>
          <w:r>
            <w:t>28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_Toc6955 </w:instrText>
          </w:r>
          <w:r>
            <w:rPr>
              <w:rFonts w:hint="eastAsia"/>
              <w:lang w:eastAsia="zh-CN"/>
            </w:rPr>
            <w:fldChar w:fldCharType="separate"/>
          </w:r>
          <w:r>
            <w:rPr>
              <w:rFonts w:hint="eastAsia" w:ascii="宋体" w:hAnsi="宋体" w:eastAsia="宋体" w:cs="宋体"/>
              <w:szCs w:val="24"/>
              <w:lang w:eastAsia="zh-CN"/>
            </w:rPr>
            <w:t>四、实施建议</w:t>
          </w:r>
          <w:r>
            <w:tab/>
          </w:r>
          <w:r>
            <w:fldChar w:fldCharType="begin"/>
          </w:r>
          <w:r>
            <w:instrText xml:space="preserve"> PAGEREF _Toc6955 </w:instrText>
          </w:r>
          <w:r>
            <w:fldChar w:fldCharType="separate"/>
          </w:r>
          <w:r>
            <w:t>35</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_Toc12062 </w:instrText>
          </w:r>
          <w:r>
            <w:rPr>
              <w:rFonts w:hint="eastAsia"/>
              <w:lang w:eastAsia="zh-CN"/>
            </w:rPr>
            <w:fldChar w:fldCharType="separate"/>
          </w:r>
          <w:r>
            <w:rPr>
              <w:rFonts w:hint="eastAsia" w:ascii="宋体" w:hAnsi="宋体" w:eastAsia="宋体" w:cs="宋体"/>
              <w:szCs w:val="24"/>
              <w:lang w:eastAsia="zh-CN"/>
            </w:rPr>
            <w:t>五、教学要求</w:t>
          </w:r>
          <w:r>
            <w:tab/>
          </w:r>
          <w:r>
            <w:fldChar w:fldCharType="begin"/>
          </w:r>
          <w:r>
            <w:instrText xml:space="preserve"> PAGEREF _Toc12062 </w:instrText>
          </w:r>
          <w:r>
            <w:fldChar w:fldCharType="separate"/>
          </w:r>
          <w:r>
            <w:t>36</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_Toc17954 </w:instrText>
          </w:r>
          <w:r>
            <w:rPr>
              <w:rFonts w:hint="eastAsia"/>
              <w:lang w:eastAsia="zh-CN"/>
            </w:rPr>
            <w:fldChar w:fldCharType="separate"/>
          </w:r>
          <w:r>
            <w:rPr>
              <w:rFonts w:hint="eastAsia" w:ascii="宋体" w:hAnsi="宋体" w:eastAsia="宋体" w:cs="宋体"/>
              <w:bCs/>
              <w:szCs w:val="24"/>
              <w:lang w:eastAsia="zh-CN"/>
            </w:rPr>
            <w:t>十五、《药物学基础》课程标准</w:t>
          </w:r>
          <w:r>
            <w:tab/>
          </w:r>
          <w:r>
            <w:fldChar w:fldCharType="begin"/>
          </w:r>
          <w:r>
            <w:instrText xml:space="preserve"> PAGEREF _Toc17954 </w:instrText>
          </w:r>
          <w:r>
            <w:fldChar w:fldCharType="separate"/>
          </w:r>
          <w:r>
            <w:t>38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_Toc22888 </w:instrText>
          </w:r>
          <w:r>
            <w:rPr>
              <w:rFonts w:hint="eastAsia"/>
              <w:lang w:eastAsia="zh-CN"/>
            </w:rPr>
            <w:fldChar w:fldCharType="separate"/>
          </w:r>
          <w:r>
            <w:rPr>
              <w:rFonts w:hint="eastAsia" w:ascii="宋体" w:hAnsi="宋体" w:eastAsia="宋体" w:cs="宋体"/>
              <w:szCs w:val="24"/>
              <w:lang w:eastAsia="zh-CN"/>
            </w:rPr>
            <w:t>一、前言</w:t>
          </w:r>
          <w:r>
            <w:tab/>
          </w:r>
          <w:r>
            <w:fldChar w:fldCharType="begin"/>
          </w:r>
          <w:r>
            <w:instrText xml:space="preserve"> PAGEREF _Toc22888 </w:instrText>
          </w:r>
          <w:r>
            <w:fldChar w:fldCharType="separate"/>
          </w:r>
          <w:r>
            <w:t>38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_Toc25554 </w:instrText>
          </w:r>
          <w:r>
            <w:rPr>
              <w:rFonts w:hint="eastAsia"/>
              <w:lang w:eastAsia="zh-CN"/>
            </w:rPr>
            <w:fldChar w:fldCharType="separate"/>
          </w:r>
          <w:r>
            <w:rPr>
              <w:rFonts w:hint="eastAsia" w:ascii="宋体" w:hAnsi="宋体" w:eastAsia="宋体" w:cs="宋体"/>
              <w:szCs w:val="24"/>
              <w:lang w:eastAsia="zh-CN"/>
            </w:rPr>
            <w:t>二、课程目标</w:t>
          </w:r>
          <w:r>
            <w:tab/>
          </w:r>
          <w:r>
            <w:fldChar w:fldCharType="begin"/>
          </w:r>
          <w:r>
            <w:instrText xml:space="preserve"> PAGEREF _Toc25554 </w:instrText>
          </w:r>
          <w:r>
            <w:fldChar w:fldCharType="separate"/>
          </w:r>
          <w:r>
            <w:t>38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_Toc20562 </w:instrText>
          </w:r>
          <w:r>
            <w:rPr>
              <w:rFonts w:hint="eastAsia"/>
              <w:lang w:eastAsia="zh-CN"/>
            </w:rPr>
            <w:fldChar w:fldCharType="separate"/>
          </w:r>
          <w:r>
            <w:rPr>
              <w:rFonts w:hint="eastAsia" w:ascii="宋体" w:hAnsi="宋体" w:eastAsia="宋体" w:cs="宋体"/>
              <w:szCs w:val="24"/>
              <w:lang w:eastAsia="zh-CN"/>
            </w:rPr>
            <w:t>三、课程内容与要求</w:t>
          </w:r>
          <w:r>
            <w:tab/>
          </w:r>
          <w:r>
            <w:fldChar w:fldCharType="begin"/>
          </w:r>
          <w:r>
            <w:instrText xml:space="preserve"> PAGEREF _Toc20562 </w:instrText>
          </w:r>
          <w:r>
            <w:fldChar w:fldCharType="separate"/>
          </w:r>
          <w:r>
            <w:t>39</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_Toc7753 </w:instrText>
          </w:r>
          <w:r>
            <w:rPr>
              <w:rFonts w:hint="eastAsia"/>
              <w:lang w:eastAsia="zh-CN"/>
            </w:rPr>
            <w:fldChar w:fldCharType="separate"/>
          </w:r>
          <w:r>
            <w:rPr>
              <w:rFonts w:hint="eastAsia" w:ascii="宋体" w:hAnsi="宋体" w:eastAsia="宋体" w:cs="宋体"/>
              <w:szCs w:val="24"/>
              <w:lang w:eastAsia="zh-CN"/>
            </w:rPr>
            <w:t>四、实施建议</w:t>
          </w:r>
          <w:r>
            <w:tab/>
          </w:r>
          <w:r>
            <w:fldChar w:fldCharType="begin"/>
          </w:r>
          <w:r>
            <w:instrText xml:space="preserve"> PAGEREF _Toc7753 </w:instrText>
          </w:r>
          <w:r>
            <w:fldChar w:fldCharType="separate"/>
          </w:r>
          <w:r>
            <w:t>44</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_Toc5616 </w:instrText>
          </w:r>
          <w:r>
            <w:rPr>
              <w:rFonts w:hint="eastAsia"/>
              <w:lang w:eastAsia="zh-CN"/>
            </w:rPr>
            <w:fldChar w:fldCharType="separate"/>
          </w:r>
          <w:r>
            <w:rPr>
              <w:rFonts w:hint="eastAsia" w:ascii="宋体" w:hAnsi="宋体" w:eastAsia="宋体" w:cs="宋体"/>
              <w:szCs w:val="24"/>
              <w:lang w:eastAsia="zh-CN"/>
            </w:rPr>
            <w:t>五、教学要求</w:t>
          </w:r>
          <w:r>
            <w:tab/>
          </w:r>
          <w:r>
            <w:fldChar w:fldCharType="begin"/>
          </w:r>
          <w:r>
            <w:instrText xml:space="preserve"> PAGEREF _Toc5616 </w:instrText>
          </w:r>
          <w:r>
            <w:fldChar w:fldCharType="separate"/>
          </w:r>
          <w:r>
            <w:t>45</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_Toc30340 </w:instrText>
          </w:r>
          <w:r>
            <w:rPr>
              <w:rFonts w:hint="eastAsia"/>
              <w:lang w:eastAsia="zh-CN"/>
            </w:rPr>
            <w:fldChar w:fldCharType="separate"/>
          </w:r>
          <w:r>
            <w:rPr>
              <w:rFonts w:hint="eastAsia" w:ascii="宋体" w:hAnsi="宋体" w:eastAsia="宋体" w:cs="宋体"/>
              <w:bCs/>
              <w:szCs w:val="24"/>
              <w:lang w:eastAsia="zh-CN"/>
            </w:rPr>
            <w:t>十六、《护理学基础》教学标准</w:t>
          </w:r>
          <w:r>
            <w:tab/>
          </w:r>
          <w:r>
            <w:fldChar w:fldCharType="begin"/>
          </w:r>
          <w:r>
            <w:instrText xml:space="preserve"> PAGEREF _Toc30340 </w:instrText>
          </w:r>
          <w:r>
            <w:fldChar w:fldCharType="separate"/>
          </w:r>
          <w:r>
            <w:t>47</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_Toc31135 </w:instrText>
          </w:r>
          <w:r>
            <w:rPr>
              <w:rFonts w:hint="eastAsia"/>
              <w:lang w:eastAsia="zh-CN"/>
            </w:rPr>
            <w:fldChar w:fldCharType="separate"/>
          </w:r>
          <w:r>
            <w:rPr>
              <w:rFonts w:hint="eastAsia" w:ascii="宋体" w:hAnsi="宋体" w:eastAsia="宋体" w:cs="宋体"/>
              <w:szCs w:val="24"/>
              <w:lang w:eastAsia="zh-CN"/>
            </w:rPr>
            <w:t>一、前言</w:t>
          </w:r>
          <w:r>
            <w:tab/>
          </w:r>
          <w:r>
            <w:fldChar w:fldCharType="begin"/>
          </w:r>
          <w:r>
            <w:instrText xml:space="preserve"> PAGEREF _Toc31135 </w:instrText>
          </w:r>
          <w:r>
            <w:fldChar w:fldCharType="separate"/>
          </w:r>
          <w:r>
            <w:t>47</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_Toc20342 </w:instrText>
          </w:r>
          <w:r>
            <w:rPr>
              <w:rFonts w:hint="eastAsia"/>
              <w:lang w:eastAsia="zh-CN"/>
            </w:rPr>
            <w:fldChar w:fldCharType="separate"/>
          </w:r>
          <w:r>
            <w:rPr>
              <w:rFonts w:hint="eastAsia" w:ascii="宋体" w:hAnsi="宋体" w:eastAsia="宋体" w:cs="宋体"/>
              <w:szCs w:val="24"/>
              <w:lang w:eastAsia="zh-CN"/>
            </w:rPr>
            <w:t>二、课程目标</w:t>
          </w:r>
          <w:r>
            <w:tab/>
          </w:r>
          <w:r>
            <w:fldChar w:fldCharType="begin"/>
          </w:r>
          <w:r>
            <w:instrText xml:space="preserve"> PAGEREF _Toc20342 </w:instrText>
          </w:r>
          <w:r>
            <w:fldChar w:fldCharType="separate"/>
          </w:r>
          <w:r>
            <w:t>47</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_Toc1895 </w:instrText>
          </w:r>
          <w:r>
            <w:rPr>
              <w:rFonts w:hint="eastAsia"/>
              <w:lang w:eastAsia="zh-CN"/>
            </w:rPr>
            <w:fldChar w:fldCharType="separate"/>
          </w:r>
          <w:r>
            <w:rPr>
              <w:rFonts w:hint="eastAsia" w:ascii="宋体" w:hAnsi="宋体" w:eastAsia="宋体" w:cs="宋体"/>
              <w:szCs w:val="24"/>
              <w:lang w:eastAsia="zh-CN"/>
            </w:rPr>
            <w:t>三、课程内容与要求</w:t>
          </w:r>
          <w:r>
            <w:tab/>
          </w:r>
          <w:r>
            <w:fldChar w:fldCharType="begin"/>
          </w:r>
          <w:r>
            <w:instrText xml:space="preserve"> PAGEREF _Toc1895 </w:instrText>
          </w:r>
          <w:r>
            <w:fldChar w:fldCharType="separate"/>
          </w:r>
          <w:r>
            <w:t>48</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_Toc28262 </w:instrText>
          </w:r>
          <w:r>
            <w:rPr>
              <w:rFonts w:hint="eastAsia"/>
              <w:lang w:eastAsia="zh-CN"/>
            </w:rPr>
            <w:fldChar w:fldCharType="separate"/>
          </w:r>
          <w:r>
            <w:rPr>
              <w:rFonts w:hint="eastAsia" w:ascii="宋体" w:hAnsi="宋体" w:eastAsia="宋体" w:cs="宋体"/>
              <w:szCs w:val="24"/>
              <w:lang w:eastAsia="zh-CN"/>
            </w:rPr>
            <w:t>四、实施建议</w:t>
          </w:r>
          <w:r>
            <w:tab/>
          </w:r>
          <w:r>
            <w:fldChar w:fldCharType="begin"/>
          </w:r>
          <w:r>
            <w:instrText xml:space="preserve"> PAGEREF _Toc28262 </w:instrText>
          </w:r>
          <w:r>
            <w:fldChar w:fldCharType="separate"/>
          </w:r>
          <w:r>
            <w:t>59</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_Toc7013 </w:instrText>
          </w:r>
          <w:r>
            <w:rPr>
              <w:rFonts w:hint="eastAsia"/>
              <w:lang w:eastAsia="zh-CN"/>
            </w:rPr>
            <w:fldChar w:fldCharType="separate"/>
          </w:r>
          <w:r>
            <w:rPr>
              <w:rFonts w:hint="eastAsia" w:ascii="宋体" w:hAnsi="宋体" w:eastAsia="宋体" w:cs="宋体"/>
              <w:szCs w:val="24"/>
              <w:lang w:eastAsia="zh-CN"/>
            </w:rPr>
            <w:t>五、教学要求</w:t>
          </w:r>
          <w:r>
            <w:tab/>
          </w:r>
          <w:r>
            <w:fldChar w:fldCharType="begin"/>
          </w:r>
          <w:r>
            <w:instrText xml:space="preserve"> PAGEREF _Toc7013 </w:instrText>
          </w:r>
          <w:r>
            <w:fldChar w:fldCharType="separate"/>
          </w:r>
          <w:r>
            <w:t>60</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_Toc801 </w:instrText>
          </w:r>
          <w:r>
            <w:rPr>
              <w:rFonts w:hint="eastAsia"/>
              <w:lang w:eastAsia="zh-CN"/>
            </w:rPr>
            <w:fldChar w:fldCharType="separate"/>
          </w:r>
          <w:r>
            <w:rPr>
              <w:rFonts w:hint="eastAsia" w:ascii="宋体" w:hAnsi="宋体" w:eastAsia="宋体" w:cs="宋体"/>
              <w:bCs/>
              <w:szCs w:val="24"/>
              <w:lang w:eastAsia="zh-CN"/>
            </w:rPr>
            <w:t>十七、《内科护理》教学标准</w:t>
          </w:r>
          <w:r>
            <w:tab/>
          </w:r>
          <w:r>
            <w:fldChar w:fldCharType="begin"/>
          </w:r>
          <w:r>
            <w:instrText xml:space="preserve"> PAGEREF _Toc801 </w:instrText>
          </w:r>
          <w:r>
            <w:fldChar w:fldCharType="separate"/>
          </w:r>
          <w:r>
            <w:t>62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_Toc437 </w:instrText>
          </w:r>
          <w:r>
            <w:rPr>
              <w:rFonts w:hint="eastAsia"/>
              <w:lang w:eastAsia="zh-CN"/>
            </w:rPr>
            <w:fldChar w:fldCharType="separate"/>
          </w:r>
          <w:r>
            <w:rPr>
              <w:rFonts w:hint="eastAsia" w:ascii="宋体" w:hAnsi="宋体" w:eastAsia="宋体" w:cs="宋体"/>
              <w:szCs w:val="24"/>
              <w:lang w:eastAsia="zh-CN"/>
            </w:rPr>
            <w:t>一、前言</w:t>
          </w:r>
          <w:r>
            <w:tab/>
          </w:r>
          <w:r>
            <w:fldChar w:fldCharType="begin"/>
          </w:r>
          <w:r>
            <w:instrText xml:space="preserve"> PAGEREF _Toc437 </w:instrText>
          </w:r>
          <w:r>
            <w:fldChar w:fldCharType="separate"/>
          </w:r>
          <w:r>
            <w:t>62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_Toc7888 </w:instrText>
          </w:r>
          <w:r>
            <w:rPr>
              <w:rFonts w:hint="eastAsia"/>
              <w:lang w:eastAsia="zh-CN"/>
            </w:rPr>
            <w:fldChar w:fldCharType="separate"/>
          </w:r>
          <w:r>
            <w:rPr>
              <w:rFonts w:hint="eastAsia" w:ascii="宋体" w:hAnsi="宋体" w:eastAsia="宋体" w:cs="宋体"/>
              <w:szCs w:val="24"/>
              <w:lang w:eastAsia="zh-CN"/>
            </w:rPr>
            <w:t>二、课程目标</w:t>
          </w:r>
          <w:r>
            <w:tab/>
          </w:r>
          <w:r>
            <w:fldChar w:fldCharType="begin"/>
          </w:r>
          <w:r>
            <w:instrText xml:space="preserve"> PAGEREF _Toc7888 </w:instrText>
          </w:r>
          <w:r>
            <w:fldChar w:fldCharType="separate"/>
          </w:r>
          <w:r>
            <w:t>62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_Toc3695 </w:instrText>
          </w:r>
          <w:r>
            <w:rPr>
              <w:rFonts w:hint="eastAsia"/>
              <w:lang w:eastAsia="zh-CN"/>
            </w:rPr>
            <w:fldChar w:fldCharType="separate"/>
          </w:r>
          <w:r>
            <w:rPr>
              <w:rFonts w:hint="eastAsia" w:ascii="宋体" w:hAnsi="宋体" w:eastAsia="宋体" w:cs="宋体"/>
              <w:szCs w:val="24"/>
              <w:lang w:eastAsia="zh-CN"/>
            </w:rPr>
            <w:t>三、课程内容与要求</w:t>
          </w:r>
          <w:r>
            <w:tab/>
          </w:r>
          <w:r>
            <w:fldChar w:fldCharType="begin"/>
          </w:r>
          <w:r>
            <w:instrText xml:space="preserve"> PAGEREF _Toc3695 </w:instrText>
          </w:r>
          <w:r>
            <w:fldChar w:fldCharType="separate"/>
          </w:r>
          <w:r>
            <w:t>63</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_Toc30324 </w:instrText>
          </w:r>
          <w:r>
            <w:rPr>
              <w:rFonts w:hint="eastAsia"/>
              <w:lang w:eastAsia="zh-CN"/>
            </w:rPr>
            <w:fldChar w:fldCharType="separate"/>
          </w:r>
          <w:r>
            <w:rPr>
              <w:rFonts w:hint="eastAsia" w:ascii="宋体" w:hAnsi="宋体" w:eastAsia="宋体" w:cs="宋体"/>
              <w:szCs w:val="24"/>
              <w:lang w:eastAsia="zh-CN"/>
            </w:rPr>
            <w:t>四、实施建议</w:t>
          </w:r>
          <w:r>
            <w:tab/>
          </w:r>
          <w:r>
            <w:fldChar w:fldCharType="begin"/>
          </w:r>
          <w:r>
            <w:instrText xml:space="preserve"> PAGEREF _Toc30324 </w:instrText>
          </w:r>
          <w:r>
            <w:fldChar w:fldCharType="separate"/>
          </w:r>
          <w:r>
            <w:t>79</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_Toc13996 </w:instrText>
          </w:r>
          <w:r>
            <w:rPr>
              <w:rFonts w:hint="eastAsia"/>
              <w:lang w:eastAsia="zh-CN"/>
            </w:rPr>
            <w:fldChar w:fldCharType="separate"/>
          </w:r>
          <w:r>
            <w:rPr>
              <w:rFonts w:hint="eastAsia" w:ascii="宋体" w:hAnsi="宋体" w:eastAsia="宋体" w:cs="宋体"/>
              <w:szCs w:val="24"/>
              <w:lang w:eastAsia="zh-CN"/>
            </w:rPr>
            <w:t>五、教学要求</w:t>
          </w:r>
          <w:r>
            <w:tab/>
          </w:r>
          <w:r>
            <w:fldChar w:fldCharType="begin"/>
          </w:r>
          <w:r>
            <w:instrText xml:space="preserve"> PAGEREF _Toc13996 </w:instrText>
          </w:r>
          <w:r>
            <w:fldChar w:fldCharType="separate"/>
          </w:r>
          <w:r>
            <w:t>79</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_Toc30298 </w:instrText>
          </w:r>
          <w:r>
            <w:rPr>
              <w:rFonts w:hint="eastAsia"/>
              <w:lang w:eastAsia="zh-CN"/>
            </w:rPr>
            <w:fldChar w:fldCharType="separate"/>
          </w:r>
          <w:r>
            <w:rPr>
              <w:rFonts w:hint="eastAsia" w:ascii="宋体" w:hAnsi="宋体" w:eastAsia="宋体" w:cs="宋体"/>
              <w:bCs/>
              <w:szCs w:val="24"/>
              <w:lang w:eastAsia="zh-CN"/>
            </w:rPr>
            <w:t>十八、《外科护理》教学标准</w:t>
          </w:r>
          <w:r>
            <w:tab/>
          </w:r>
          <w:r>
            <w:fldChar w:fldCharType="begin"/>
          </w:r>
          <w:r>
            <w:instrText xml:space="preserve"> PAGEREF _Toc30298 </w:instrText>
          </w:r>
          <w:r>
            <w:fldChar w:fldCharType="separate"/>
          </w:r>
          <w:r>
            <w:t>81</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_Toc15037 </w:instrText>
          </w:r>
          <w:r>
            <w:rPr>
              <w:rFonts w:hint="eastAsia"/>
              <w:lang w:eastAsia="zh-CN"/>
            </w:rPr>
            <w:fldChar w:fldCharType="separate"/>
          </w:r>
          <w:r>
            <w:rPr>
              <w:rFonts w:hint="eastAsia" w:ascii="宋体" w:hAnsi="宋体" w:eastAsia="宋体" w:cs="宋体"/>
              <w:szCs w:val="24"/>
              <w:lang w:eastAsia="zh-CN"/>
            </w:rPr>
            <w:t>一、前言</w:t>
          </w:r>
          <w:r>
            <w:tab/>
          </w:r>
          <w:r>
            <w:fldChar w:fldCharType="begin"/>
          </w:r>
          <w:r>
            <w:instrText xml:space="preserve"> PAGEREF _Toc15037 </w:instrText>
          </w:r>
          <w:r>
            <w:fldChar w:fldCharType="separate"/>
          </w:r>
          <w:r>
            <w:t>81</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_Toc5631 </w:instrText>
          </w:r>
          <w:r>
            <w:rPr>
              <w:rFonts w:hint="eastAsia"/>
              <w:lang w:eastAsia="zh-CN"/>
            </w:rPr>
            <w:fldChar w:fldCharType="separate"/>
          </w:r>
          <w:r>
            <w:rPr>
              <w:rFonts w:hint="eastAsia" w:ascii="宋体" w:hAnsi="宋体" w:eastAsia="宋体" w:cs="宋体"/>
              <w:szCs w:val="24"/>
              <w:lang w:eastAsia="zh-CN"/>
            </w:rPr>
            <w:t>二、课程目标</w:t>
          </w:r>
          <w:r>
            <w:tab/>
          </w:r>
          <w:r>
            <w:fldChar w:fldCharType="begin"/>
          </w:r>
          <w:r>
            <w:instrText xml:space="preserve"> PAGEREF _Toc5631 </w:instrText>
          </w:r>
          <w:r>
            <w:fldChar w:fldCharType="separate"/>
          </w:r>
          <w:r>
            <w:t>81</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_Toc13036 </w:instrText>
          </w:r>
          <w:r>
            <w:rPr>
              <w:rFonts w:hint="eastAsia"/>
              <w:lang w:eastAsia="zh-CN"/>
            </w:rPr>
            <w:fldChar w:fldCharType="separate"/>
          </w:r>
          <w:r>
            <w:rPr>
              <w:rFonts w:hint="eastAsia" w:ascii="宋体" w:hAnsi="宋体" w:eastAsia="宋体" w:cs="宋体"/>
              <w:szCs w:val="24"/>
              <w:lang w:eastAsia="zh-CN"/>
            </w:rPr>
            <w:t>三、课程内容与要求</w:t>
          </w:r>
          <w:r>
            <w:tab/>
          </w:r>
          <w:r>
            <w:fldChar w:fldCharType="begin"/>
          </w:r>
          <w:r>
            <w:instrText xml:space="preserve"> PAGEREF _Toc13036 </w:instrText>
          </w:r>
          <w:r>
            <w:fldChar w:fldCharType="separate"/>
          </w:r>
          <w:r>
            <w:t>82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_Toc6202 </w:instrText>
          </w:r>
          <w:r>
            <w:rPr>
              <w:rFonts w:hint="eastAsia"/>
              <w:lang w:eastAsia="zh-CN"/>
            </w:rPr>
            <w:fldChar w:fldCharType="separate"/>
          </w:r>
          <w:r>
            <w:rPr>
              <w:rFonts w:hint="eastAsia" w:ascii="宋体" w:hAnsi="宋体" w:eastAsia="宋体" w:cs="宋体"/>
              <w:szCs w:val="24"/>
              <w:lang w:eastAsia="zh-CN"/>
            </w:rPr>
            <w:t>四、实施建议</w:t>
          </w:r>
          <w:r>
            <w:tab/>
          </w:r>
          <w:r>
            <w:fldChar w:fldCharType="begin"/>
          </w:r>
          <w:r>
            <w:instrText xml:space="preserve"> PAGEREF _Toc6202 </w:instrText>
          </w:r>
          <w:r>
            <w:fldChar w:fldCharType="separate"/>
          </w:r>
          <w:r>
            <w:t>100</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_Toc7046 </w:instrText>
          </w:r>
          <w:r>
            <w:rPr>
              <w:rFonts w:hint="eastAsia"/>
              <w:lang w:eastAsia="zh-CN"/>
            </w:rPr>
            <w:fldChar w:fldCharType="separate"/>
          </w:r>
          <w:r>
            <w:rPr>
              <w:rFonts w:hint="eastAsia" w:ascii="宋体" w:hAnsi="宋体" w:eastAsia="宋体" w:cs="宋体"/>
              <w:szCs w:val="24"/>
              <w:lang w:eastAsia="zh-CN"/>
            </w:rPr>
            <w:t>五、教学要求</w:t>
          </w:r>
          <w:r>
            <w:tab/>
          </w:r>
          <w:r>
            <w:fldChar w:fldCharType="begin"/>
          </w:r>
          <w:r>
            <w:instrText xml:space="preserve"> PAGEREF _Toc7046 </w:instrText>
          </w:r>
          <w:r>
            <w:fldChar w:fldCharType="separate"/>
          </w:r>
          <w:r>
            <w:t>100</w:t>
          </w:r>
          <w:r>
            <w:fldChar w:fldCharType="end"/>
          </w:r>
          <w:r>
            <w:rPr>
              <w:rFonts w:hint="eastAsia"/>
              <w:lang w:eastAsia="zh-CN"/>
            </w:rPr>
            <w:fldChar w:fldCharType="end"/>
          </w:r>
        </w:p>
        <w:p>
          <w:pPr>
            <w:pStyle w:val="5"/>
            <w:tabs>
              <w:tab w:val="right" w:leader="dot" w:pos="8306"/>
            </w:tabs>
          </w:pPr>
          <w:r>
            <w:rPr>
              <w:rFonts w:hint="eastAsia"/>
              <w:lang w:eastAsia="zh-CN"/>
            </w:rPr>
            <w:fldChar w:fldCharType="begin"/>
          </w:r>
          <w:r>
            <w:rPr>
              <w:rFonts w:hint="eastAsia"/>
              <w:lang w:eastAsia="zh-CN"/>
            </w:rPr>
            <w:instrText xml:space="preserve"> HYPERLINK \l _Toc429 </w:instrText>
          </w:r>
          <w:r>
            <w:rPr>
              <w:rFonts w:hint="eastAsia"/>
              <w:lang w:eastAsia="zh-CN"/>
            </w:rPr>
            <w:fldChar w:fldCharType="separate"/>
          </w:r>
          <w:r>
            <w:rPr>
              <w:rFonts w:hint="eastAsia" w:ascii="宋体" w:hAnsi="宋体" w:eastAsia="宋体" w:cs="宋体"/>
              <w:bCs/>
              <w:szCs w:val="24"/>
              <w:lang w:eastAsia="zh-CN"/>
            </w:rPr>
            <w:t>十九、《妇产科》教学标准</w:t>
          </w:r>
          <w:r>
            <w:tab/>
          </w:r>
          <w:r>
            <w:fldChar w:fldCharType="begin"/>
          </w:r>
          <w:r>
            <w:instrText xml:space="preserve"> PAGEREF _Toc429 </w:instrText>
          </w:r>
          <w:r>
            <w:fldChar w:fldCharType="separate"/>
          </w:r>
          <w:r>
            <w:t>102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_Toc8707 </w:instrText>
          </w:r>
          <w:r>
            <w:rPr>
              <w:rFonts w:hint="eastAsia"/>
              <w:lang w:eastAsia="zh-CN"/>
            </w:rPr>
            <w:fldChar w:fldCharType="separate"/>
          </w:r>
          <w:r>
            <w:rPr>
              <w:rFonts w:hint="eastAsia" w:ascii="宋体" w:hAnsi="宋体" w:eastAsia="宋体" w:cs="宋体"/>
              <w:szCs w:val="24"/>
              <w:lang w:eastAsia="zh-CN"/>
            </w:rPr>
            <w:t>一、前言</w:t>
          </w:r>
          <w:r>
            <w:tab/>
          </w:r>
          <w:r>
            <w:fldChar w:fldCharType="begin"/>
          </w:r>
          <w:r>
            <w:instrText xml:space="preserve"> PAGEREF _Toc8707 </w:instrText>
          </w:r>
          <w:r>
            <w:fldChar w:fldCharType="separate"/>
          </w:r>
          <w:r>
            <w:t>102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_Toc8141 </w:instrText>
          </w:r>
          <w:r>
            <w:rPr>
              <w:rFonts w:hint="eastAsia"/>
              <w:lang w:eastAsia="zh-CN"/>
            </w:rPr>
            <w:fldChar w:fldCharType="separate"/>
          </w:r>
          <w:r>
            <w:rPr>
              <w:rFonts w:hint="eastAsia" w:ascii="宋体" w:hAnsi="宋体" w:eastAsia="宋体" w:cs="宋体"/>
              <w:szCs w:val="24"/>
              <w:lang w:eastAsia="zh-CN"/>
            </w:rPr>
            <w:t>二、课程目标</w:t>
          </w:r>
          <w:r>
            <w:tab/>
          </w:r>
          <w:r>
            <w:fldChar w:fldCharType="begin"/>
          </w:r>
          <w:r>
            <w:instrText xml:space="preserve"> PAGEREF _Toc8141 </w:instrText>
          </w:r>
          <w:r>
            <w:fldChar w:fldCharType="separate"/>
          </w:r>
          <w:r>
            <w:t>102</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_Toc17533 </w:instrText>
          </w:r>
          <w:r>
            <w:rPr>
              <w:rFonts w:hint="eastAsia"/>
              <w:lang w:eastAsia="zh-CN"/>
            </w:rPr>
            <w:fldChar w:fldCharType="separate"/>
          </w:r>
          <w:r>
            <w:rPr>
              <w:rFonts w:hint="eastAsia" w:ascii="宋体" w:hAnsi="宋体" w:eastAsia="宋体" w:cs="宋体"/>
              <w:szCs w:val="24"/>
              <w:lang w:eastAsia="zh-CN"/>
            </w:rPr>
            <w:t>三、课程内容与要求</w:t>
          </w:r>
          <w:r>
            <w:tab/>
          </w:r>
          <w:r>
            <w:fldChar w:fldCharType="begin"/>
          </w:r>
          <w:r>
            <w:instrText xml:space="preserve"> PAGEREF _Toc17533 </w:instrText>
          </w:r>
          <w:r>
            <w:fldChar w:fldCharType="separate"/>
          </w:r>
          <w:r>
            <w:t>103</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_Toc3319 </w:instrText>
          </w:r>
          <w:r>
            <w:rPr>
              <w:rFonts w:hint="eastAsia"/>
              <w:lang w:eastAsia="zh-CN"/>
            </w:rPr>
            <w:fldChar w:fldCharType="separate"/>
          </w:r>
          <w:r>
            <w:rPr>
              <w:rFonts w:hint="eastAsia" w:ascii="宋体" w:hAnsi="宋体" w:eastAsia="宋体" w:cs="宋体"/>
              <w:szCs w:val="24"/>
              <w:lang w:eastAsia="zh-CN"/>
            </w:rPr>
            <w:t>四、实施建议</w:t>
          </w:r>
          <w:r>
            <w:tab/>
          </w:r>
          <w:r>
            <w:fldChar w:fldCharType="begin"/>
          </w:r>
          <w:r>
            <w:instrText xml:space="preserve"> PAGEREF _Toc3319 </w:instrText>
          </w:r>
          <w:r>
            <w:fldChar w:fldCharType="separate"/>
          </w:r>
          <w:r>
            <w:t>117</w:t>
          </w:r>
          <w:r>
            <w:fldChar w:fldCharType="end"/>
          </w:r>
          <w:r>
            <w:rPr>
              <w:rFonts w:hint="eastAsia"/>
              <w:lang w:eastAsia="zh-CN"/>
            </w:rPr>
            <w:fldChar w:fldCharType="end"/>
          </w:r>
        </w:p>
        <w:p>
          <w:pPr>
            <w:pStyle w:val="6"/>
            <w:tabs>
              <w:tab w:val="right" w:leader="dot" w:pos="8306"/>
            </w:tabs>
          </w:pPr>
          <w:r>
            <w:rPr>
              <w:rFonts w:hint="eastAsia"/>
              <w:lang w:eastAsia="zh-CN"/>
            </w:rPr>
            <w:fldChar w:fldCharType="begin"/>
          </w:r>
          <w:r>
            <w:rPr>
              <w:rFonts w:hint="eastAsia"/>
              <w:lang w:eastAsia="zh-CN"/>
            </w:rPr>
            <w:instrText xml:space="preserve"> HYPERLINK \l _Toc7641 </w:instrText>
          </w:r>
          <w:r>
            <w:rPr>
              <w:rFonts w:hint="eastAsia"/>
              <w:lang w:eastAsia="zh-CN"/>
            </w:rPr>
            <w:fldChar w:fldCharType="separate"/>
          </w:r>
          <w:r>
            <w:rPr>
              <w:rFonts w:hint="eastAsia" w:ascii="宋体" w:hAnsi="宋体" w:eastAsia="宋体" w:cs="宋体"/>
              <w:szCs w:val="24"/>
              <w:lang w:eastAsia="zh-CN"/>
            </w:rPr>
            <w:t>五、教学要求</w:t>
          </w:r>
          <w:r>
            <w:tab/>
          </w:r>
          <w:r>
            <w:fldChar w:fldCharType="begin"/>
          </w:r>
          <w:r>
            <w:instrText xml:space="preserve"> PAGEREF _Toc7641 </w:instrText>
          </w:r>
          <w:r>
            <w:fldChar w:fldCharType="separate"/>
          </w:r>
          <w:r>
            <w:t>118</w:t>
          </w:r>
          <w:r>
            <w:fldChar w:fldCharType="end"/>
          </w:r>
          <w:r>
            <w:rPr>
              <w:rFonts w:hint="eastAsia"/>
              <w:lang w:eastAsia="zh-CN"/>
            </w:rPr>
            <w:fldChar w:fldCharType="end"/>
          </w:r>
        </w:p>
        <w:p>
          <w:pPr>
            <w:rPr>
              <w:rFonts w:hint="eastAsia" w:asciiTheme="minorHAnsi" w:hAnsiTheme="minorHAnsi" w:eastAsiaTheme="minorEastAsia" w:cstheme="minorBidi"/>
              <w:b/>
              <w:kern w:val="2"/>
              <w:sz w:val="21"/>
              <w:szCs w:val="24"/>
              <w:lang w:val="en-US" w:eastAsia="zh-CN" w:bidi="ar-SA"/>
            </w:rPr>
          </w:pPr>
          <w:r>
            <w:rPr>
              <w:rFonts w:hint="eastAsia"/>
              <w:lang w:eastAsia="zh-CN"/>
            </w:rPr>
            <w:fldChar w:fldCharType="end"/>
          </w:r>
        </w:p>
      </w:sdtContent>
    </w:sdt>
    <w:p>
      <w:pPr>
        <w:rPr>
          <w:rFonts w:hint="eastAsia" w:asciiTheme="minorHAnsi" w:hAnsiTheme="minorHAnsi" w:eastAsiaTheme="minorEastAsia" w:cstheme="minorBidi"/>
          <w:b/>
          <w:kern w:val="2"/>
          <w:sz w:val="21"/>
          <w:szCs w:val="24"/>
          <w:lang w:val="en-US" w:eastAsia="zh-CN" w:bidi="ar-SA"/>
        </w:rPr>
      </w:pPr>
    </w:p>
    <w:p>
      <w:pPr>
        <w:rPr>
          <w:rFonts w:hint="eastAsia" w:asciiTheme="minorHAnsi" w:hAnsiTheme="minorHAnsi" w:eastAsiaTheme="minorEastAsia" w:cstheme="minorBidi"/>
          <w:b/>
          <w:kern w:val="2"/>
          <w:sz w:val="21"/>
          <w:szCs w:val="24"/>
          <w:lang w:val="en-US" w:eastAsia="zh-CN" w:bidi="ar-SA"/>
        </w:rPr>
      </w:pPr>
    </w:p>
    <w:p>
      <w:pPr>
        <w:rPr>
          <w:rFonts w:hint="eastAsia" w:asciiTheme="minorHAnsi" w:hAnsiTheme="minorHAnsi" w:eastAsiaTheme="minorEastAsia" w:cstheme="minorBidi"/>
          <w:b/>
          <w:kern w:val="2"/>
          <w:sz w:val="21"/>
          <w:szCs w:val="24"/>
          <w:lang w:val="en-US" w:eastAsia="zh-CN" w:bidi="ar-SA"/>
        </w:rPr>
      </w:pPr>
    </w:p>
    <w:p>
      <w:pPr>
        <w:rPr>
          <w:rFonts w:hint="eastAsia" w:asciiTheme="minorHAnsi" w:hAnsiTheme="minorHAnsi" w:eastAsiaTheme="minorEastAsia" w:cstheme="minorBidi"/>
          <w:b/>
          <w:kern w:val="2"/>
          <w:sz w:val="21"/>
          <w:szCs w:val="24"/>
          <w:lang w:val="en-US" w:eastAsia="zh-CN" w:bidi="ar-SA"/>
        </w:rPr>
      </w:pPr>
    </w:p>
    <w:p>
      <w:pPr>
        <w:rPr>
          <w:rFonts w:hint="eastAsia" w:asciiTheme="minorHAnsi" w:hAnsiTheme="minorHAnsi" w:eastAsiaTheme="minorEastAsia" w:cstheme="minorBidi"/>
          <w:b/>
          <w:kern w:val="2"/>
          <w:sz w:val="21"/>
          <w:szCs w:val="24"/>
          <w:lang w:val="en-US" w:eastAsia="zh-CN" w:bidi="ar-SA"/>
        </w:rPr>
      </w:pPr>
    </w:p>
    <w:p>
      <w:pPr>
        <w:rPr>
          <w:rFonts w:hint="eastAsia" w:asciiTheme="minorHAnsi" w:hAnsiTheme="minorHAnsi" w:eastAsiaTheme="minorEastAsia" w:cstheme="minorBidi"/>
          <w:b/>
          <w:kern w:val="2"/>
          <w:sz w:val="21"/>
          <w:szCs w:val="24"/>
          <w:lang w:val="en-US" w:eastAsia="zh-CN" w:bidi="ar-SA"/>
        </w:rPr>
      </w:pPr>
    </w:p>
    <w:p>
      <w:pPr>
        <w:rPr>
          <w:rFonts w:hint="eastAsia" w:asciiTheme="minorHAnsi" w:hAnsiTheme="minorHAnsi" w:eastAsiaTheme="minorEastAsia" w:cstheme="minorBidi"/>
          <w:b/>
          <w:kern w:val="2"/>
          <w:sz w:val="21"/>
          <w:szCs w:val="24"/>
          <w:lang w:val="en-US" w:eastAsia="zh-CN" w:bidi="ar-SA"/>
        </w:rPr>
      </w:pPr>
    </w:p>
    <w:p>
      <w:pPr>
        <w:rPr>
          <w:rFonts w:hint="eastAsia" w:asciiTheme="minorHAnsi" w:hAnsiTheme="minorHAnsi" w:eastAsiaTheme="minorEastAsia" w:cstheme="minorBidi"/>
          <w:b/>
          <w:kern w:val="2"/>
          <w:sz w:val="21"/>
          <w:szCs w:val="24"/>
          <w:lang w:val="en-US" w:eastAsia="zh-CN" w:bidi="ar-SA"/>
        </w:rPr>
      </w:pPr>
    </w:p>
    <w:p>
      <w:pPr>
        <w:rPr>
          <w:rFonts w:hint="eastAsia" w:asciiTheme="minorHAnsi" w:hAnsiTheme="minorHAnsi" w:eastAsiaTheme="minorEastAsia" w:cstheme="minorBidi"/>
          <w:b/>
          <w:kern w:val="2"/>
          <w:sz w:val="21"/>
          <w:szCs w:val="24"/>
          <w:lang w:val="en-US" w:eastAsia="zh-CN" w:bidi="ar-SA"/>
        </w:rPr>
      </w:pPr>
    </w:p>
    <w:p>
      <w:pPr>
        <w:rPr>
          <w:rFonts w:hint="eastAsia" w:asciiTheme="minorHAnsi" w:hAnsiTheme="minorHAnsi" w:eastAsiaTheme="minorEastAsia" w:cstheme="minorBidi"/>
          <w:b/>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宋体" w:hAnsi="宋体" w:eastAsia="宋体" w:cs="宋体"/>
          <w:b/>
          <w:bCs/>
          <w:color w:val="auto"/>
          <w:sz w:val="36"/>
          <w:szCs w:val="36"/>
        </w:rPr>
      </w:pPr>
      <w:bookmarkStart w:id="1" w:name="_Toc6752"/>
      <w:r>
        <w:rPr>
          <w:rFonts w:hint="eastAsia" w:ascii="宋体" w:hAnsi="宋体" w:eastAsia="宋体" w:cs="宋体"/>
          <w:b/>
          <w:bCs/>
          <w:color w:val="auto"/>
          <w:sz w:val="36"/>
          <w:szCs w:val="36"/>
        </w:rPr>
        <w:t>护理专业人才培养方案</w:t>
      </w:r>
      <w:bookmarkEnd w:id="1"/>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2" w:name="_Toc6471"/>
      <w:r>
        <w:rPr>
          <w:rFonts w:hint="eastAsia" w:ascii="宋体" w:hAnsi="宋体" w:eastAsia="宋体" w:cs="宋体"/>
          <w:b/>
          <w:bCs/>
          <w:sz w:val="24"/>
          <w:szCs w:val="24"/>
          <w:lang w:eastAsia="zh-CN"/>
        </w:rPr>
        <w:t>一、专业名称及代码</w:t>
      </w:r>
      <w:bookmarkEnd w:id="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（一）专业名称：护理学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（二）专业代码：100100</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3" w:name="_Toc8690"/>
      <w:r>
        <w:rPr>
          <w:rFonts w:hint="eastAsia" w:ascii="宋体" w:hAnsi="宋体" w:eastAsia="宋体" w:cs="宋体"/>
          <w:b/>
          <w:bCs/>
          <w:sz w:val="24"/>
          <w:szCs w:val="24"/>
          <w:lang w:eastAsia="zh-CN"/>
        </w:rPr>
        <w:t>二、入学要求</w:t>
      </w:r>
      <w:bookmarkEnd w:id="3"/>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符合中职教育条件的初中毕业生及具有同等学力者。</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4" w:name="_Toc576"/>
      <w:r>
        <w:rPr>
          <w:rFonts w:hint="eastAsia" w:ascii="宋体" w:hAnsi="宋体" w:eastAsia="宋体" w:cs="宋体"/>
          <w:b/>
          <w:bCs/>
          <w:sz w:val="24"/>
          <w:szCs w:val="24"/>
          <w:lang w:eastAsia="zh-CN"/>
        </w:rPr>
        <w:t>三、修业年限</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三年（全日制）</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5" w:name="_Toc4886"/>
      <w:r>
        <w:rPr>
          <w:rFonts w:hint="eastAsia" w:ascii="宋体" w:hAnsi="宋体" w:eastAsia="宋体" w:cs="宋体"/>
          <w:b/>
          <w:bCs/>
          <w:sz w:val="24"/>
          <w:szCs w:val="24"/>
          <w:lang w:eastAsia="zh-CN"/>
        </w:rPr>
        <w:t>四、职业面向</w:t>
      </w:r>
      <w:bookmarkEnd w:id="5"/>
    </w:p>
    <w:tbl>
      <w:tblPr>
        <w:tblStyle w:val="8"/>
        <w:tblW w:w="7799" w:type="dxa"/>
        <w:tblCellSpacing w:w="0" w:type="dxa"/>
        <w:tblInd w:w="730" w:type="dxa"/>
        <w:tblLayout w:type="fixed"/>
        <w:tblCellMar>
          <w:top w:w="0" w:type="dxa"/>
          <w:left w:w="0" w:type="dxa"/>
          <w:bottom w:w="0" w:type="dxa"/>
          <w:right w:w="0" w:type="dxa"/>
        </w:tblCellMar>
      </w:tblPr>
      <w:tblGrid>
        <w:gridCol w:w="1625"/>
        <w:gridCol w:w="1312"/>
        <w:gridCol w:w="1552"/>
        <w:gridCol w:w="1793"/>
        <w:gridCol w:w="1517"/>
      </w:tblGrid>
      <w:tr>
        <w:tblPrEx>
          <w:tblLayout w:type="fixed"/>
          <w:tblCellMar>
            <w:top w:w="0" w:type="dxa"/>
            <w:left w:w="0" w:type="dxa"/>
            <w:bottom w:w="0" w:type="dxa"/>
            <w:right w:w="0" w:type="dxa"/>
          </w:tblCellMar>
        </w:tblPrEx>
        <w:trPr>
          <w:trHeight w:val="1241" w:hRule="atLeast"/>
          <w:tblCellSpacing w:w="0" w:type="dxa"/>
        </w:trPr>
        <w:tc>
          <w:tcPr>
            <w:tcW w:w="1625" w:type="dxa"/>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所属专业大类（代码）</w:t>
            </w:r>
          </w:p>
        </w:tc>
        <w:tc>
          <w:tcPr>
            <w:tcW w:w="1312"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对应行业（代码）</w:t>
            </w:r>
          </w:p>
        </w:tc>
        <w:tc>
          <w:tcPr>
            <w:tcW w:w="1552"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主要职业类别（代码）</w:t>
            </w:r>
          </w:p>
        </w:tc>
        <w:tc>
          <w:tcPr>
            <w:tcW w:w="1793"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主要岗位类别（或技术领域）</w:t>
            </w:r>
          </w:p>
        </w:tc>
        <w:tc>
          <w:tcPr>
            <w:tcW w:w="1517" w:type="dxa"/>
            <w:tcBorders>
              <w:top w:val="single" w:color="000000" w:sz="6" w:space="0"/>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职业资格证书或技能等级证书举例</w:t>
            </w:r>
          </w:p>
        </w:tc>
      </w:tr>
      <w:tr>
        <w:tblPrEx>
          <w:tblLayout w:type="fixed"/>
          <w:tblCellMar>
            <w:top w:w="0" w:type="dxa"/>
            <w:left w:w="0" w:type="dxa"/>
            <w:bottom w:w="0" w:type="dxa"/>
            <w:right w:w="0" w:type="dxa"/>
          </w:tblCellMar>
        </w:tblPrEx>
        <w:trPr>
          <w:trHeight w:val="1355" w:hRule="atLeast"/>
          <w:tblCellSpacing w:w="0" w:type="dxa"/>
        </w:trPr>
        <w:tc>
          <w:tcPr>
            <w:tcW w:w="1625" w:type="dxa"/>
            <w:tcBorders>
              <w:top w:val="nil"/>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pStyle w:val="7"/>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rPr>
              <w:t>医药卫生类（1</w:t>
            </w:r>
            <w:r>
              <w:rPr>
                <w:rFonts w:hint="eastAsia" w:ascii="宋体" w:hAnsi="宋体" w:eastAsia="宋体" w:cs="宋体"/>
                <w:color w:val="auto"/>
                <w:sz w:val="24"/>
                <w:szCs w:val="24"/>
              </w:rPr>
              <w:t>0）</w:t>
            </w:r>
          </w:p>
        </w:tc>
        <w:tc>
          <w:tcPr>
            <w:tcW w:w="131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医院（841）  基层医疗卫生服务（842）</w:t>
            </w:r>
          </w:p>
        </w:tc>
        <w:tc>
          <w:tcPr>
            <w:tcW w:w="1552"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护理人员2-05-08（GBM1-98）</w:t>
            </w:r>
          </w:p>
        </w:tc>
        <w:tc>
          <w:tcPr>
            <w:tcW w:w="1793"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护士</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护理员</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2-05-08-07助产士</w:t>
            </w:r>
          </w:p>
        </w:tc>
        <w:tc>
          <w:tcPr>
            <w:tcW w:w="1517" w:type="dxa"/>
            <w:tcBorders>
              <w:top w:val="nil"/>
              <w:left w:val="nil"/>
              <w:bottom w:val="single" w:color="000000" w:sz="6" w:space="0"/>
              <w:right w:val="single" w:color="000000" w:sz="6" w:space="0"/>
            </w:tcBorders>
            <w:noWrap w:val="0"/>
            <w:tcMar>
              <w:top w:w="0" w:type="dxa"/>
              <w:left w:w="105" w:type="dxa"/>
              <w:bottom w:w="0" w:type="dxa"/>
              <w:right w:w="105" w:type="dxa"/>
            </w:tcMar>
            <w:vAlign w:val="center"/>
          </w:tcPr>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护士执业资格</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护理员</w:t>
            </w:r>
          </w:p>
        </w:tc>
      </w:tr>
    </w:tbl>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6" w:name="_Toc10567"/>
      <w:r>
        <w:rPr>
          <w:rFonts w:hint="eastAsia" w:ascii="宋体" w:hAnsi="宋体" w:eastAsia="宋体" w:cs="宋体"/>
          <w:b/>
          <w:bCs/>
          <w:sz w:val="24"/>
          <w:szCs w:val="24"/>
          <w:lang w:eastAsia="zh-CN"/>
        </w:rPr>
        <w:t>五、培养目标与规格</w:t>
      </w:r>
      <w:bookmarkEnd w:id="6"/>
    </w:p>
    <w:p>
      <w:pPr>
        <w:keepNext w:val="0"/>
        <w:keepLines w:val="0"/>
        <w:pageBreakBefore w:val="0"/>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7" w:name="_Toc13000"/>
      <w:r>
        <w:rPr>
          <w:rFonts w:hint="eastAsia" w:ascii="宋体" w:hAnsi="宋体" w:eastAsia="宋体" w:cs="宋体"/>
          <w:sz w:val="24"/>
          <w:szCs w:val="24"/>
          <w:lang w:eastAsia="zh-CN"/>
        </w:rPr>
        <w:t>（一）培养目标</w:t>
      </w:r>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养适应我国社会主义现代化建设护理事业发展需要的，德智体美全面发展，具备护理专业基本理论知识和专业技能，具有良好的职业道德、人文素养、实践能力和创新精神，毕业后能在各医疗、预防、养老、保健机构从事临床护理、社区护理和健康保健等护理工作的初中级技能型护理专门人才。</w:t>
      </w:r>
    </w:p>
    <w:p>
      <w:pPr>
        <w:keepNext w:val="0"/>
        <w:keepLines w:val="0"/>
        <w:pageBreakBefore w:val="0"/>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8" w:name="_Toc32633"/>
      <w:r>
        <w:rPr>
          <w:rFonts w:hint="eastAsia" w:ascii="宋体" w:hAnsi="宋体" w:eastAsia="宋体" w:cs="宋体"/>
          <w:sz w:val="24"/>
          <w:szCs w:val="24"/>
          <w:lang w:eastAsia="zh-CN"/>
        </w:rPr>
        <w:t>（二）培养规格</w:t>
      </w:r>
      <w:bookmarkEnd w:id="8"/>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1．职业素质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思想道德素质：爱祖国、爱人民，坚决反对14世达赖集团所从事的分裂祖国的活动，自觉维护民族团结，维护祖国领土完整和统一。具有正确的世界观、人生观和价值观；能吃苦耐劳，乐于奉献，有事业心和责任感；具备较强的法律意识，自觉遵守法律法规、护理职业道德规范和社会公德；具备正确认识社会、判别是非的基本能力；具有良好的科学精神和创新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（2）人文素质：具有努力追求自我发展和自我完善、有求知欲和终身学习的精神，诚实守信、谦逊正直；具有团队协作精神，能与领导、同事团结合作。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（3）身心素质：具有良好的生理、心理状态和社会适应能力，正确认识和评价自己，慎独意识强；具备一定的自我心理调整能力和对挫折、失败的承受能力。</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（1）掌握现代护理学的基础理论和基本知识，掌握急、慢性和重症病人的护理原则与急救的护理配合；了解护理学科和医学技术发展动态。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（2）掌握护理服务所必须的基础医学、临床医学、社会、人文等学科知识并能综合有效地运用于护理工作中。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（3）掌握社区卫生服务的基本知识、方法。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（4）具备必需的医疗卫生法律、法规知识，熟悉国家卫生工作方针、政策、法律及法规，在职业活动中学会用法律保护护理对象和维护自身的合法权益。</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3．专业技能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（1）具有提供整体护理的能力，具体包括对护理对象的身体、心理、社会、文化等方面的护理。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（2）具有规范的基础护理和专科护理操作能力。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（3）具有对急危重症病人的初步应急处理能力和配合抢救能力。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（4）具有对常见病、多发病病情和常用药物疗效、反应的观察能力和护理能力。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（5）具有社区卫生服务的基本技能、开展健康教育和卫生保健指导的能力。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（6）具有一定的护理科研和护理管理能力。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（7）具有较好的藏语、汉语会话、专著语阅读能力。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（8）具有较熟练的计算机基本操作技能。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（9）具有良好的团结协作、沟通交流和合作的能力。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（10）具有良好的适应第一线工作环境的基本能力；具有继续学习新知识和接受新技能的能力。</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4．证书目标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本专业学生毕业时应取得以下证书：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（1）中职护理专业毕业证书。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（2）中华人民共和国护士执业资格证书。</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5．就业目标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（1）各级各类的医疗机构，如：市医院、县医院、乡镇医院等。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（2）社区服务机构，如：养老院、福利院、社区服务中心。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（3）服务型企业，如：养生馆、减肥中心、育婴保健中心、妇友之家。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（4）继续深造，如：成人高考、对口高职、普通高考。</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9" w:name="_Toc13695"/>
      <w:r>
        <w:rPr>
          <w:rFonts w:hint="eastAsia" w:ascii="宋体" w:hAnsi="宋体" w:eastAsia="宋体" w:cs="宋体"/>
          <w:b/>
          <w:bCs/>
          <w:sz w:val="24"/>
          <w:szCs w:val="24"/>
          <w:lang w:eastAsia="zh-CN"/>
        </w:rPr>
        <w:t>六、主要续接专业</w:t>
      </w:r>
      <w:bookmarkEnd w:id="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高职:护理、助产等相关专业</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10" w:name="_Toc30734"/>
      <w:r>
        <w:rPr>
          <w:rFonts w:hint="eastAsia" w:ascii="宋体" w:hAnsi="宋体" w:eastAsia="宋体" w:cs="宋体"/>
          <w:b/>
          <w:bCs/>
          <w:sz w:val="24"/>
          <w:szCs w:val="24"/>
          <w:lang w:eastAsia="zh-CN"/>
        </w:rPr>
        <w:t>七、课程设置</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针对我校的学生基本为本地学生、我校教学资源和教学环境、基础参差不齐、主要就业单位对人才能力需求的特殊现实情况，对护理专业的课程体系和教学内容进行专业化设置。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本专业课程设置分别为公共基础课和专业技能课。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公共基础课包括德育课、文化课、体育与健康以及其他自然学科和人文科学类基础课。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专业技能课为专业核心课和专业选修课。实习实训是专业技能课教学的重要内容，含校内外实训、毕业实习等多种形式。</w:t>
      </w:r>
    </w:p>
    <w:p>
      <w:pPr>
        <w:keepNext w:val="0"/>
        <w:keepLines w:val="0"/>
        <w:pageBreakBefore w:val="0"/>
        <w:numPr>
          <w:ilvl w:val="0"/>
          <w:numId w:val="1"/>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11" w:name="_Toc6055"/>
      <w:r>
        <w:rPr>
          <w:rFonts w:hint="eastAsia" w:ascii="宋体" w:hAnsi="宋体" w:eastAsia="宋体" w:cs="宋体"/>
          <w:sz w:val="24"/>
          <w:szCs w:val="24"/>
          <w:lang w:eastAsia="zh-CN"/>
        </w:rPr>
        <w:t>公共基础课</w:t>
      </w:r>
      <w:bookmarkEnd w:id="11"/>
    </w:p>
    <w:tbl>
      <w:tblPr>
        <w:tblStyle w:val="8"/>
        <w:tblW w:w="8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001"/>
        <w:gridCol w:w="49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课程名称</w:t>
            </w:r>
          </w:p>
        </w:tc>
        <w:tc>
          <w:tcPr>
            <w:tcW w:w="4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主要教学内容和要求</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职业生涯规划</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依据《中等职业学校职业生涯规划教学大纲》开设，并与专业实际和行业发展密切结合</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职业道德与法律</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依据《中等职业学校职业道德与法律教学大纲》开设，并与专业实际和行业发展密切结合</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经济政治与社会</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依据《中等职业学校经济政治与社会教学大纲》开设，并与专业实际和行业发展密切结合</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哲学与人生</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依据《中等职业学校哲学与人生教学大纲》开设，并与专业实际和行业发展密切结合</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语文</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依据《中等职业学校语文教学大纲》开设，并注重在职业模块的教学内容中体现专业特色</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数学</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依据《中等职业学校数学教学大纲》开设，并注重在职业模块的教学内容中体现专业特色</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藏语</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依据西藏自治区民族特色教育开设，并注重在职业模块的教学内容中体现专业特色</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计算机应用基础</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依据《中等职业学校计算机应用基础教学大纲》开设，并注重在职业模块的教学内容中体现专业特色</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英语</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依据《中等职业学校计算机应用基础教学大纲》开设，并注重在职业模块的教学内容中体现专业特色</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体育与健康</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依据《中等职业学校体育与健康教学指导纲要》开设，并与专业实际和行业发展密切结合</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心理健康</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依据《中等职业学校心理健康教学大纲》开设，并与专业实际和行业发展密切结合</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思想政治（四观两论）</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依据《中等职业学校思想政治教学大纲》开设，并与专业实际和行业发展密切结合</w:t>
            </w: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p>
        </w:tc>
        <w:tc>
          <w:tcPr>
            <w:tcW w:w="2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总计</w:t>
            </w:r>
          </w:p>
        </w:tc>
        <w:tc>
          <w:tcPr>
            <w:tcW w:w="49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1746</w:t>
            </w:r>
          </w:p>
        </w:tc>
      </w:tr>
    </w:tbl>
    <w:p>
      <w:pPr>
        <w:keepNext w:val="0"/>
        <w:keepLines w:val="0"/>
        <w:pageBreakBefore w:val="0"/>
        <w:numPr>
          <w:ilvl w:val="0"/>
          <w:numId w:val="1"/>
        </w:numPr>
        <w:kinsoku/>
        <w:wordWrap/>
        <w:overflowPunct/>
        <w:topLinePunct w:val="0"/>
        <w:bidi w:val="0"/>
        <w:spacing w:line="360" w:lineRule="auto"/>
        <w:ind w:left="0" w:leftChars="0" w:firstLine="0" w:firstLineChars="0"/>
        <w:textAlignment w:val="auto"/>
        <w:outlineLvl w:val="1"/>
        <w:rPr>
          <w:rFonts w:hint="eastAsia" w:ascii="宋体" w:hAnsi="宋体" w:eastAsia="宋体" w:cs="宋体"/>
          <w:sz w:val="24"/>
          <w:szCs w:val="24"/>
          <w:lang w:eastAsia="zh-CN"/>
        </w:rPr>
      </w:pPr>
      <w:bookmarkStart w:id="12" w:name="_Toc893"/>
      <w:r>
        <w:rPr>
          <w:rFonts w:hint="eastAsia" w:ascii="宋体" w:hAnsi="宋体" w:eastAsia="宋体" w:cs="宋体"/>
          <w:sz w:val="24"/>
          <w:szCs w:val="24"/>
          <w:lang w:eastAsia="zh-CN"/>
        </w:rPr>
        <w:t>专业核心课</w:t>
      </w:r>
      <w:bookmarkEnd w:id="12"/>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50"/>
        <w:gridCol w:w="51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课程名称</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主要教学内容和要求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参考</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生理学基础</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了解生理学的研究内容和任务，掌握人体及其各器官系统的主要生理功能，能运用生理学知识解释各种生理现象，为学习护理专业知识奠定理论基础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人体解剖学基础</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人体胚胎发育情况，熟悉正常人体的正常结构，掌握正常人体的组成、各系统主要器官的形态和位置，能识别各系统主要器官的形态、结构，能规范地进行基本实践操作，会运用解剖学基本知识分析、解释临床问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病理学</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认识和掌握疾病的本质和发生发展规律，为后续课程内、外、妇、儿等临床学科提供理论知识基础，从而为防治疾病提供必要的理论基础和实践依据。</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护理学基础</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熟悉护理的基本概念，初步掌握护理的基本理论，确立以护理对象为中心的护理理念，能应用护理程序指导实践，掌握基础护理技术操作，能准确书写护理医疗文件，能初步分析和解决临床常见的护理问题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180(理论+实训)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内科护理学</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内科常见疾病的概念，熟悉内科常见病患者的护理问题，掌握内科常见病的护理评估及护理措施，具有对内科常见病患者的病情变化、心理变化和治疗反应进行观察和初步分析及处理的能力，能正确书写内科护理记录，能配合医师对内科急危重症患者进行抢救，能配合医师实施内科常用诊疗技术操作，能运用内科疾病预防保健知识和人际沟通技巧向个体、家庭、社区提供保健服务，开展健康教育。</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外科护理学</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外科有关疾病的概念，熟悉手术室基本工作内容，熟悉外科常见病的处理原则，熟悉外科常见病的处理原则，熟悉外科常见病的护理评估、护理措施，掌握外科常见急危重症患者进行抢救，具有初步管理手术室和配合常见手术的能力，能运用外科疾病预防保健知识和人际沟通技巧，向个体、家庭及社区提供保健服务，开展健康教育。</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妇产科护理学</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妇产科常见病的护理评估、护理问题，掌握妇产科护理的基本理论、基本知识，掌握妇产科常见病的护理措施，能配合医师对妇产科常见急危重症患者实施抢救，能配合医师正确地进行妇产科主要会技术操作，能运行妇产科疾病预防保健知识和人际沟通技巧向个体、家庭、社区提供保健服务和健康教育。</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儿科护理学</w:t>
            </w:r>
          </w:p>
        </w:tc>
        <w:tc>
          <w:tcPr>
            <w:tcW w:w="5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儿科常见疾病的概念，掌握小儿成长发育规律、营养与喂养、计划免疫等知识，掌握儿科常见疾病的护理评估、护理问题和护理措施，能配合医师对急危重症患儿进行抢救配合，能配合医师进行儿科常用护理技术操作，能运用儿科疾病预防保健知识和人际沟通技巧向个体、家庭、社区提供儿童保健服务和健康教育。</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总计</w:t>
            </w:r>
          </w:p>
        </w:tc>
        <w:tc>
          <w:tcPr>
            <w:tcW w:w="51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1134</w:t>
            </w:r>
          </w:p>
        </w:tc>
      </w:tr>
    </w:tbl>
    <w:p>
      <w:pPr>
        <w:keepNext w:val="0"/>
        <w:keepLines w:val="0"/>
        <w:pageBreakBefore w:val="0"/>
        <w:numPr>
          <w:ilvl w:val="0"/>
          <w:numId w:val="1"/>
        </w:numPr>
        <w:kinsoku/>
        <w:wordWrap/>
        <w:overflowPunct/>
        <w:topLinePunct w:val="0"/>
        <w:bidi w:val="0"/>
        <w:spacing w:line="360" w:lineRule="auto"/>
        <w:ind w:left="0" w:leftChars="0" w:firstLine="0" w:firstLineChars="0"/>
        <w:textAlignment w:val="auto"/>
        <w:outlineLvl w:val="1"/>
        <w:rPr>
          <w:rFonts w:hint="eastAsia" w:ascii="宋体" w:hAnsi="宋体" w:eastAsia="宋体" w:cs="宋体"/>
          <w:sz w:val="24"/>
          <w:szCs w:val="24"/>
          <w:lang w:eastAsia="zh-CN"/>
        </w:rPr>
      </w:pPr>
      <w:bookmarkStart w:id="13" w:name="_Toc7882"/>
      <w:r>
        <w:rPr>
          <w:rFonts w:hint="eastAsia" w:ascii="宋体" w:hAnsi="宋体" w:eastAsia="宋体" w:cs="宋体"/>
          <w:sz w:val="24"/>
          <w:szCs w:val="24"/>
          <w:lang w:eastAsia="zh-CN"/>
        </w:rPr>
        <w:t>专业选修课</w:t>
      </w:r>
      <w:bookmarkEnd w:id="13"/>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50"/>
        <w:gridCol w:w="524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课程名称</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主要教学内容和要求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参考</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护理礼仪</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了解护理工作者应当掌握的礼仪常识，包括护士的仪容礼仪、护士的举止礼仪、护士的服饰礼仪、护士的言谈举止等，能全面了解护理职业人员的仪容、举止、服饰、言谈、交往、工作等方面的礼仪。</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护理实训</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培养学生具有良好的职业素养，能在系统地领会和掌握护理学的基本理论知识的基础上全面掌握临床基本操作技能，培养学生观察、分析、判断和解决护理对象的护理问题的能力。</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免疫学</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掌握免疫器官、免疫细胞、免疫相关物质（因子）的性质功能和特异性免疫应答原理及规律的科学，能掌握免疫学的基本概念，基本理论和基本技能，为临床上所从事的免疫学技术及应用奠定基础。</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药物学</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临床常用药物的作用、用途，药物不良反应的基本知识，能观察药物疗效和不良反应，能对常见疾病非处方药物进行用药指导和药物咨询，具有对常用药物制剂进行外观检查、查阅药物相互作用、检索配伍禁忌与准确换算药物剂量的能力，初步具备药物应用过程的护理技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p>
        </w:tc>
        <w:tc>
          <w:tcPr>
            <w:tcW w:w="1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总计</w:t>
            </w:r>
          </w:p>
        </w:tc>
        <w:tc>
          <w:tcPr>
            <w:tcW w:w="52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w:t>
            </w:r>
          </w:p>
        </w:tc>
      </w:tr>
    </w:tbl>
    <w:p>
      <w:pPr>
        <w:keepNext w:val="0"/>
        <w:keepLines w:val="0"/>
        <w:pageBreakBefore w:val="0"/>
        <w:numPr>
          <w:ilvl w:val="0"/>
          <w:numId w:val="0"/>
        </w:numPr>
        <w:kinsoku/>
        <w:wordWrap/>
        <w:overflowPunct/>
        <w:topLinePunct w:val="0"/>
        <w:bidi w:val="0"/>
        <w:spacing w:line="360" w:lineRule="auto"/>
        <w:ind w:leftChars="0"/>
        <w:textAlignment w:val="auto"/>
        <w:outlineLvl w:val="1"/>
        <w:rPr>
          <w:rFonts w:hint="eastAsia" w:ascii="宋体" w:hAnsi="宋体" w:eastAsia="宋体" w:cs="宋体"/>
          <w:sz w:val="24"/>
          <w:szCs w:val="24"/>
          <w:lang w:eastAsia="zh-CN"/>
        </w:rPr>
      </w:pPr>
      <w:bookmarkStart w:id="14" w:name="_Toc13412"/>
      <w:r>
        <w:rPr>
          <w:rFonts w:hint="eastAsia" w:ascii="宋体" w:hAnsi="宋体" w:eastAsia="宋体" w:cs="宋体"/>
          <w:sz w:val="24"/>
          <w:szCs w:val="24"/>
          <w:lang w:eastAsia="zh-CN"/>
        </w:rPr>
        <w:t>（四）综合实训</w:t>
      </w:r>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综合实训包括教学见习及综合技能训练。教学见习旨在使学生熟悉医院环境及临床、护理工作内容。综合技能训练旨在使学生进一步理解基本理论知识并掌握一定的操作技能，提升专业知识与技能的综合应用能力。</w:t>
      </w:r>
    </w:p>
    <w:p>
      <w:pPr>
        <w:keepNext w:val="0"/>
        <w:keepLines w:val="0"/>
        <w:pageBreakBefore w:val="0"/>
        <w:numPr>
          <w:ilvl w:val="0"/>
          <w:numId w:val="0"/>
        </w:numPr>
        <w:kinsoku/>
        <w:wordWrap/>
        <w:overflowPunct/>
        <w:topLinePunct w:val="0"/>
        <w:bidi w:val="0"/>
        <w:spacing w:line="360" w:lineRule="auto"/>
        <w:ind w:leftChars="0"/>
        <w:textAlignment w:val="auto"/>
        <w:outlineLvl w:val="1"/>
        <w:rPr>
          <w:rFonts w:hint="eastAsia" w:ascii="宋体" w:hAnsi="宋体" w:eastAsia="宋体" w:cs="宋体"/>
          <w:sz w:val="24"/>
          <w:szCs w:val="24"/>
          <w:lang w:eastAsia="zh-CN"/>
        </w:rPr>
      </w:pPr>
      <w:bookmarkStart w:id="15" w:name="_Toc29000"/>
      <w:r>
        <w:rPr>
          <w:rFonts w:hint="eastAsia" w:ascii="宋体" w:hAnsi="宋体" w:eastAsia="宋体" w:cs="宋体"/>
          <w:sz w:val="24"/>
          <w:szCs w:val="24"/>
          <w:lang w:eastAsia="zh-CN"/>
        </w:rPr>
        <w:t>（五）毕业实习</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毕业实习是学生职业技能和职业岗位工作能力培养的重要实践教学环节，要认真落实国家《护士条例》和教育部、财政部关于《中等职业学校学生实习管理办法》的有关要求，在确保学生实习总量的同时，保证实习岗位与本专业面向的岗位一致，并覆盖执业准入标准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毕业实习主要安排在人民医院、民安医院等综合医院。实习主要在内科、外科、妇产科、儿科、急诊科、手术室等进行轮转。实习主要内容包括病房的主要设备及使用方法，入院、出院病人的卫生宣传和健康指导，病房及患者的管理，常见病患者的护理，基本护理操作和专科护理操作，护理文件的书写及医疗档案的管理等。</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16" w:name="_Toc25846"/>
      <w:r>
        <w:rPr>
          <w:rFonts w:hint="eastAsia" w:ascii="宋体" w:hAnsi="宋体" w:eastAsia="宋体" w:cs="宋体"/>
          <w:b/>
          <w:bCs/>
          <w:sz w:val="24"/>
          <w:szCs w:val="24"/>
          <w:lang w:eastAsia="zh-CN"/>
        </w:rPr>
        <w:t>八、学时安排</w:t>
      </w:r>
      <w:bookmarkEnd w:id="1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每学年为40周（含复习考试），周学时一般为30学时（每学期除去期中期末复习考试为18周，每学年36周），毕业实习按每周30小时（1小时折合1学时）安排，3年总学时数为3200学时以上。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公共基础课学时约占总学时的1/3，允许根据行业人才培养的实际需要在规定的范围内适当调整，但必须保证学生修完公共基础课的必修内容和学时。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专业技能课学时约占总学时的2/3，在保证学生实习总量的前提下，可根据实际需要集中或分阶段安排实习时间，对医疗机构及护理岗位的认知见习应安排在第一学年。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根据不同课程设置合适的理论课时和实训课时的比例，如《护理学基础》的理论、实训比例应达到1:3。</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17" w:name="_Toc24717"/>
      <w:r>
        <w:rPr>
          <w:rFonts w:hint="eastAsia" w:ascii="宋体" w:hAnsi="宋体" w:eastAsia="宋体" w:cs="宋体"/>
          <w:b/>
          <w:bCs/>
          <w:sz w:val="24"/>
          <w:szCs w:val="24"/>
          <w:lang w:eastAsia="zh-CN"/>
        </w:rPr>
        <w:t>九、教学进程总体安排</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进程总体安排是对本专业技术技能人才培养、教育教学实施进程的总体安排，是专业人才培养模式的具体体现，学校应尊重学生的学习规律，科学构建课程体系，注重公共基础课程与专业课程的衔接，优化课程安排次序，明确学期周数分配，科学编制教学进程安排表。</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p>
    <w:p>
      <w:pPr>
        <w:keepNext w:val="0"/>
        <w:keepLines w:val="0"/>
        <w:pageBreakBefore w:val="0"/>
        <w:numPr>
          <w:ilvl w:val="0"/>
          <w:numId w:val="2"/>
        </w:numPr>
        <w:kinsoku/>
        <w:wordWrap/>
        <w:overflowPunct/>
        <w:topLinePunct w:val="0"/>
        <w:bidi w:val="0"/>
        <w:spacing w:line="360" w:lineRule="auto"/>
        <w:ind w:leftChars="0"/>
        <w:textAlignment w:val="auto"/>
        <w:outlineLvl w:val="1"/>
        <w:rPr>
          <w:rFonts w:hint="eastAsia" w:ascii="宋体" w:hAnsi="宋体" w:eastAsia="宋体" w:cs="宋体"/>
          <w:sz w:val="24"/>
          <w:szCs w:val="24"/>
          <w:lang w:eastAsia="zh-CN"/>
        </w:rPr>
      </w:pPr>
      <w:bookmarkStart w:id="18" w:name="_Toc10449"/>
      <w:r>
        <w:rPr>
          <w:rFonts w:hint="eastAsia" w:ascii="宋体" w:hAnsi="宋体" w:eastAsia="宋体" w:cs="宋体"/>
          <w:sz w:val="24"/>
          <w:szCs w:val="24"/>
          <w:lang w:eastAsia="zh-CN"/>
        </w:rPr>
        <w:t>教学进程总体安排</w:t>
      </w:r>
      <w:bookmarkEnd w:id="18"/>
    </w:p>
    <w:tbl>
      <w:tblPr>
        <w:tblStyle w:val="8"/>
        <w:tblW w:w="8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85"/>
        <w:gridCol w:w="1075"/>
        <w:gridCol w:w="3085"/>
        <w:gridCol w:w="120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学期</w:t>
            </w:r>
          </w:p>
        </w:tc>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学期周数</w:t>
            </w:r>
          </w:p>
        </w:tc>
        <w:tc>
          <w:tcPr>
            <w:tcW w:w="4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教学周数</w:t>
            </w:r>
          </w:p>
        </w:tc>
        <w:tc>
          <w:tcPr>
            <w:tcW w:w="12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考试</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周数</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机动</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p>
        </w:tc>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周数</w:t>
            </w:r>
          </w:p>
        </w:tc>
        <w:tc>
          <w:tcPr>
            <w:tcW w:w="3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其中：综合的实践教学及教育活动周数</w:t>
            </w: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一</w:t>
            </w:r>
          </w:p>
        </w:tc>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3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1（军训）</w:t>
            </w:r>
          </w:p>
        </w:tc>
        <w:tc>
          <w:tcPr>
            <w:tcW w:w="120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3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1（入学教育）</w:t>
            </w:r>
          </w:p>
        </w:tc>
        <w:tc>
          <w:tcPr>
            <w:tcW w:w="120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95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二</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3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2（专业实践类任选课）</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三</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3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2(教学实践、见习)</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3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1(教学实践、见习)</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五</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tc>
        <w:tc>
          <w:tcPr>
            <w:tcW w:w="30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40(进岗实习)</w:t>
            </w:r>
          </w:p>
        </w:tc>
        <w:tc>
          <w:tcPr>
            <w:tcW w:w="21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六</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p>
        </w:tc>
        <w:tc>
          <w:tcPr>
            <w:tcW w:w="3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总计</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120</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72</w:t>
            </w:r>
          </w:p>
        </w:tc>
        <w:tc>
          <w:tcPr>
            <w:tcW w:w="3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47</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r>
    </w:tbl>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p>
    <w:p>
      <w:pPr>
        <w:keepNext w:val="0"/>
        <w:keepLines w:val="0"/>
        <w:pageBreakBefore w:val="0"/>
        <w:numPr>
          <w:ilvl w:val="0"/>
          <w:numId w:val="2"/>
        </w:numPr>
        <w:kinsoku/>
        <w:wordWrap/>
        <w:overflowPunct/>
        <w:topLinePunct w:val="0"/>
        <w:bidi w:val="0"/>
        <w:spacing w:line="360" w:lineRule="auto"/>
        <w:ind w:left="0" w:leftChars="0" w:firstLine="0" w:firstLineChars="0"/>
        <w:textAlignment w:val="auto"/>
        <w:outlineLvl w:val="1"/>
        <w:rPr>
          <w:rFonts w:hint="eastAsia" w:ascii="宋体" w:hAnsi="宋体" w:eastAsia="宋体" w:cs="宋体"/>
          <w:sz w:val="24"/>
          <w:szCs w:val="24"/>
          <w:lang w:eastAsia="zh-CN"/>
        </w:rPr>
      </w:pPr>
      <w:bookmarkStart w:id="19" w:name="_Toc8734"/>
      <w:r>
        <w:rPr>
          <w:rFonts w:hint="eastAsia" w:ascii="宋体" w:hAnsi="宋体" w:eastAsia="宋体" w:cs="宋体"/>
          <w:sz w:val="24"/>
          <w:szCs w:val="24"/>
          <w:lang w:eastAsia="zh-CN"/>
        </w:rPr>
        <w:t>教学进程安排</w:t>
      </w:r>
      <w:bookmarkEnd w:id="19"/>
    </w:p>
    <w:tbl>
      <w:tblPr>
        <w:tblStyle w:val="8"/>
        <w:tblW w:w="8860" w:type="dxa"/>
        <w:tblInd w:w="108" w:type="dxa"/>
        <w:tblLayout w:type="fixed"/>
        <w:tblCellMar>
          <w:top w:w="0" w:type="dxa"/>
          <w:left w:w="108" w:type="dxa"/>
          <w:bottom w:w="0" w:type="dxa"/>
          <w:right w:w="108" w:type="dxa"/>
        </w:tblCellMar>
      </w:tblPr>
      <w:tblGrid>
        <w:gridCol w:w="1037"/>
        <w:gridCol w:w="701"/>
        <w:gridCol w:w="2019"/>
        <w:gridCol w:w="850"/>
        <w:gridCol w:w="851"/>
        <w:gridCol w:w="850"/>
        <w:gridCol w:w="851"/>
        <w:gridCol w:w="850"/>
        <w:gridCol w:w="851"/>
      </w:tblGrid>
      <w:tr>
        <w:tblPrEx>
          <w:tblLayout w:type="fixed"/>
          <w:tblCellMar>
            <w:top w:w="0" w:type="dxa"/>
            <w:left w:w="108" w:type="dxa"/>
            <w:bottom w:w="0" w:type="dxa"/>
            <w:right w:w="108" w:type="dxa"/>
          </w:tblCellMar>
        </w:tblPrEx>
        <w:trPr>
          <w:trHeight w:val="420" w:hRule="atLeast"/>
        </w:trPr>
        <w:tc>
          <w:tcPr>
            <w:tcW w:w="10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课程</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类别</w:t>
            </w:r>
          </w:p>
        </w:tc>
        <w:tc>
          <w:tcPr>
            <w:tcW w:w="70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1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课程名称</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第一学年</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第二学年</w:t>
            </w:r>
          </w:p>
        </w:tc>
        <w:tc>
          <w:tcPr>
            <w:tcW w:w="170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第三学年</w:t>
            </w:r>
          </w:p>
        </w:tc>
      </w:tr>
      <w:tr>
        <w:tblPrEx>
          <w:tblLayout w:type="fixed"/>
          <w:tblCellMar>
            <w:top w:w="0" w:type="dxa"/>
            <w:left w:w="108" w:type="dxa"/>
            <w:bottom w:w="0" w:type="dxa"/>
            <w:right w:w="108" w:type="dxa"/>
          </w:tblCellMar>
        </w:tblPrEx>
        <w:trPr>
          <w:trHeight w:val="499" w:hRule="atLeast"/>
        </w:trPr>
        <w:tc>
          <w:tcPr>
            <w:tcW w:w="103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20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第一学期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第二学期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第三学期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第四学期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第五学期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第六学期</w:t>
            </w:r>
          </w:p>
        </w:tc>
      </w:tr>
      <w:tr>
        <w:tblPrEx>
          <w:tblLayout w:type="fixed"/>
          <w:tblCellMar>
            <w:top w:w="0" w:type="dxa"/>
            <w:left w:w="108" w:type="dxa"/>
            <w:bottom w:w="0" w:type="dxa"/>
            <w:right w:w="108" w:type="dxa"/>
          </w:tblCellMar>
        </w:tblPrEx>
        <w:trPr>
          <w:trHeight w:val="360" w:hRule="atLeast"/>
        </w:trPr>
        <w:tc>
          <w:tcPr>
            <w:tcW w:w="103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公</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共</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基</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础</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程</w:t>
            </w: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藏语文</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汉语文</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数学</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英语</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心理健康</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职业道德</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哲学与人生</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经济政治</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思想政治</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计算机</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体育</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285" w:hRule="atLeast"/>
        </w:trPr>
        <w:tc>
          <w:tcPr>
            <w:tcW w:w="103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业</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课</w:t>
            </w: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生理学基础</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人体解剖学</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病理学</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护理学基础</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内科护理学</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外科护理学</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妇产科护理</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儿科护理学</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复习</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tblPrEx>
          <w:tblLayout w:type="fixed"/>
          <w:tblCellMar>
            <w:top w:w="0" w:type="dxa"/>
            <w:left w:w="108" w:type="dxa"/>
            <w:bottom w:w="0" w:type="dxa"/>
            <w:right w:w="108" w:type="dxa"/>
          </w:tblCellMar>
        </w:tblPrEx>
        <w:trPr>
          <w:trHeight w:val="285" w:hRule="atLeast"/>
        </w:trPr>
        <w:tc>
          <w:tcPr>
            <w:tcW w:w="103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选修课程与实践</w:t>
            </w: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职业生涯规划</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免疫学</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护理礼仪</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药物学</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tblPrEx>
          <w:tblLayout w:type="fixed"/>
          <w:tblCellMar>
            <w:top w:w="0" w:type="dxa"/>
            <w:left w:w="108" w:type="dxa"/>
            <w:bottom w:w="0" w:type="dxa"/>
            <w:right w:w="108" w:type="dxa"/>
          </w:tblCellMar>
        </w:tblPrEx>
        <w:trPr>
          <w:trHeight w:val="285" w:hRule="atLeast"/>
        </w:trPr>
        <w:tc>
          <w:tcPr>
            <w:tcW w:w="103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实习</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8个</w:t>
            </w:r>
            <w:r>
              <w:rPr>
                <w:rFonts w:hint="eastAsia" w:ascii="宋体" w:hAnsi="宋体" w:eastAsia="宋体" w:cs="宋体"/>
                <w:color w:val="auto"/>
                <w:sz w:val="24"/>
                <w:szCs w:val="24"/>
                <w:lang w:eastAsia="zh-CN"/>
              </w:rPr>
              <w:t>月</w:t>
            </w:r>
          </w:p>
        </w:tc>
      </w:tr>
      <w:tr>
        <w:tblPrEx>
          <w:tblLayout w:type="fixed"/>
          <w:tblCellMar>
            <w:top w:w="0" w:type="dxa"/>
            <w:left w:w="108" w:type="dxa"/>
            <w:bottom w:w="0" w:type="dxa"/>
            <w:right w:w="108" w:type="dxa"/>
          </w:tblCellMar>
        </w:tblPrEx>
        <w:trPr>
          <w:trHeight w:val="285" w:hRule="atLeast"/>
        </w:trPr>
        <w:tc>
          <w:tcPr>
            <w:tcW w:w="1037" w:type="dxa"/>
            <w:tcBorders>
              <w:top w:val="nil"/>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周学时</w:t>
            </w:r>
          </w:p>
        </w:tc>
        <w:tc>
          <w:tcPr>
            <w:tcW w:w="70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2019"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850"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851"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w:t>
            </w:r>
          </w:p>
        </w:tc>
      </w:tr>
    </w:tbl>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20" w:name="_Toc30295"/>
      <w:r>
        <w:rPr>
          <w:rFonts w:hint="eastAsia" w:ascii="宋体" w:hAnsi="宋体" w:eastAsia="宋体" w:cs="宋体"/>
          <w:b/>
          <w:bCs/>
          <w:sz w:val="24"/>
          <w:szCs w:val="24"/>
          <w:lang w:eastAsia="zh-CN"/>
        </w:rPr>
        <w:t>十、实施保障</w:t>
      </w:r>
      <w:bookmarkEnd w:id="20"/>
    </w:p>
    <w:p>
      <w:pPr>
        <w:keepNext w:val="0"/>
        <w:keepLines w:val="0"/>
        <w:pageBreakBefore w:val="0"/>
        <w:numPr>
          <w:ilvl w:val="0"/>
          <w:numId w:val="0"/>
        </w:numPr>
        <w:kinsoku/>
        <w:wordWrap/>
        <w:overflowPunct/>
        <w:topLinePunct w:val="0"/>
        <w:bidi w:val="0"/>
        <w:spacing w:line="360" w:lineRule="auto"/>
        <w:ind w:leftChars="0"/>
        <w:textAlignment w:val="auto"/>
        <w:outlineLvl w:val="1"/>
        <w:rPr>
          <w:rFonts w:hint="eastAsia" w:ascii="宋体" w:hAnsi="宋体" w:eastAsia="宋体" w:cs="宋体"/>
          <w:sz w:val="24"/>
          <w:szCs w:val="24"/>
          <w:lang w:eastAsia="zh-CN"/>
        </w:rPr>
      </w:pPr>
      <w:bookmarkStart w:id="21" w:name="_Toc22014"/>
      <w:r>
        <w:rPr>
          <w:rFonts w:hint="eastAsia" w:ascii="宋体" w:hAnsi="宋体" w:eastAsia="宋体" w:cs="宋体"/>
          <w:sz w:val="24"/>
          <w:szCs w:val="24"/>
          <w:lang w:eastAsia="zh-CN"/>
        </w:rPr>
        <w:t>（一）师资队伍</w:t>
      </w:r>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1．专业后备带头人培养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遴选专业后备带头人。通过国内考察、培训、参加国内学术会议，使其能站在护理专业领域的前沿，掌握专业发展动态，把握护理专业人才培养方向，引导专业改革，在全市护理专业教学、科研、服务领域有一定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2．加强骨干教师培养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各课程培养1－2名骨干教师。提高骨干教师的理论与实践教学水平和课程建设的能力。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3．强化兼职教师聘任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各课程聘任1－3名兼职教师，利用他们的特长来担任理论和实践教学和顶岗实习的指导教师。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4．青年教师培养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制定培养计划，不断提高学术水平，教学能力，尤其提高实践教学能力，通过安排到医院和骨干院校顶岗实践、在职培训及双师资格认证等措施增强教师的实践动手能力，不断提高理论、实践教学水平。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bookmarkStart w:id="22" w:name="_Toc3077"/>
      <w:r>
        <w:rPr>
          <w:rFonts w:hint="eastAsia" w:ascii="宋体" w:hAnsi="宋体" w:eastAsia="宋体" w:cs="宋体"/>
          <w:sz w:val="24"/>
          <w:szCs w:val="24"/>
          <w:lang w:eastAsia="zh-CN"/>
        </w:rPr>
        <w:t>（二）教学设施</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1．校内实训实习室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校内实训实习必须具备基础护理、内科护理、外科护理、妇产科护理、儿科护理等实训实习室。实训实习室的建设应保障教学、贴近临床、注重人文。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解剖实训室：</w:t>
      </w:r>
    </w:p>
    <w:tbl>
      <w:tblPr>
        <w:tblStyle w:val="8"/>
        <w:tblW w:w="7943" w:type="dxa"/>
        <w:jc w:val="center"/>
        <w:tblInd w:w="0" w:type="dxa"/>
        <w:tblLayout w:type="fixed"/>
        <w:tblCellMar>
          <w:top w:w="0" w:type="dxa"/>
          <w:left w:w="108" w:type="dxa"/>
          <w:bottom w:w="0" w:type="dxa"/>
          <w:right w:w="108" w:type="dxa"/>
        </w:tblCellMar>
      </w:tblPr>
      <w:tblGrid>
        <w:gridCol w:w="851"/>
        <w:gridCol w:w="3123"/>
        <w:gridCol w:w="1914"/>
        <w:gridCol w:w="1063"/>
        <w:gridCol w:w="992"/>
      </w:tblGrid>
      <w:tr>
        <w:tblPrEx>
          <w:tblLayout w:type="fixed"/>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2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91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c>
          <w:tcPr>
            <w:tcW w:w="106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tblPrEx>
          <w:tblLayout w:type="fixed"/>
          <w:tblCellMar>
            <w:top w:w="0" w:type="dxa"/>
            <w:left w:w="108" w:type="dxa"/>
            <w:bottom w:w="0" w:type="dxa"/>
            <w:right w:w="108" w:type="dxa"/>
          </w:tblCellMar>
        </w:tblPrEx>
        <w:trPr>
          <w:trHeight w:val="480" w:hRule="atLeast"/>
          <w:jc w:val="center"/>
        </w:trPr>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2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头部附脑动脉模型</w:t>
            </w:r>
          </w:p>
        </w:tc>
        <w:tc>
          <w:tcPr>
            <w:tcW w:w="1914"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肝胰十二指肠模型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 (成人)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胃病理模型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肘关节模型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直肠与肛管模型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39"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肺部模型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消化系统模型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人体肾脏解剖模型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下颌下三角解剖模型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男性人体躯干矢状断层解剖</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女性人体躯干矢状断层解剖</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人体呼吸系统模型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膝关节模型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肩关节模型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髋关节模型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手关节模型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80" w:hRule="atLeast"/>
          <w:jc w:val="center"/>
        </w:trPr>
        <w:tc>
          <w:tcPr>
            <w:tcW w:w="851"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312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脚关节模型</w:t>
            </w:r>
          </w:p>
        </w:tc>
        <w:tc>
          <w:tcPr>
            <w:tcW w:w="1914"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塑胶（成人）</w:t>
            </w:r>
          </w:p>
        </w:tc>
        <w:tc>
          <w:tcPr>
            <w:tcW w:w="1063"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件</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51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口腔模型</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KAR/13017</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51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泌尿系统模型</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KAR/14001</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51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女性骨盆及盆底肌肉模型</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KAR/15114-1</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bl>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妇产实训室：</w:t>
      </w:r>
    </w:p>
    <w:tbl>
      <w:tblPr>
        <w:tblStyle w:val="8"/>
        <w:tblW w:w="7943" w:type="dxa"/>
        <w:jc w:val="center"/>
        <w:tblInd w:w="0" w:type="dxa"/>
        <w:tblLayout w:type="fixed"/>
        <w:tblCellMar>
          <w:top w:w="0" w:type="dxa"/>
          <w:left w:w="108" w:type="dxa"/>
          <w:bottom w:w="0" w:type="dxa"/>
          <w:right w:w="108" w:type="dxa"/>
        </w:tblCellMar>
      </w:tblPr>
      <w:tblGrid>
        <w:gridCol w:w="851"/>
        <w:gridCol w:w="2992"/>
        <w:gridCol w:w="2045"/>
        <w:gridCol w:w="1063"/>
        <w:gridCol w:w="992"/>
      </w:tblGrid>
      <w:tr>
        <w:tblPrEx>
          <w:tblLayout w:type="fixed"/>
          <w:tblCellMar>
            <w:top w:w="0" w:type="dxa"/>
            <w:left w:w="108" w:type="dxa"/>
            <w:bottom w:w="0" w:type="dxa"/>
            <w:right w:w="108" w:type="dxa"/>
          </w:tblCellMar>
        </w:tblPrEx>
        <w:trPr>
          <w:trHeight w:val="541"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tblPrEx>
          <w:tblLayout w:type="fixed"/>
          <w:tblCellMar>
            <w:top w:w="0" w:type="dxa"/>
            <w:left w:w="108" w:type="dxa"/>
            <w:bottom w:w="0" w:type="dxa"/>
            <w:right w:w="108" w:type="dxa"/>
          </w:tblCellMar>
        </w:tblPrEx>
        <w:trPr>
          <w:trHeight w:val="49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高级分娩与母子急救模型</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KAR/F55</w:t>
            </w:r>
          </w:p>
        </w:tc>
        <w:tc>
          <w:tcPr>
            <w:tcW w:w="10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27"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产床</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不锈钢</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张</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52"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移动交互式产前检查模型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OBI0300006BDC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产前宫颈变化模型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OBS0300001ADC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9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高级分娩机转示教模型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OBS0300002ADC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55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外阴切开展示模型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OBS0300003ADC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55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子宫底检查训练评定模型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OBS0300004ADC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55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电子孕妇腹部触诊模型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OBI0300006ADC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55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分娩机转示教模型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OBS0300011ADC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55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人工流产模拟子宫</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GYS0300005ADC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55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宫内避孕器训练模型Ⅰ</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GYS0300006ADC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50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高级妇科检查模型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GYS0300009BDC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452"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月经周期示教模型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GYS0300012ADC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具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88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开放式妇产科护理学辅助教学系统</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0BV0300007ADC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宫内发育示教模型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OBS0300005ADC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移动交互式产前检查模型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OBI0300006BDC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69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透明刮宫演示模型（前倾子宫）</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GYS0300002ADC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bl>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外科实训室：</w:t>
      </w:r>
    </w:p>
    <w:tbl>
      <w:tblPr>
        <w:tblStyle w:val="8"/>
        <w:tblW w:w="7943" w:type="dxa"/>
        <w:jc w:val="center"/>
        <w:tblInd w:w="0" w:type="dxa"/>
        <w:tblLayout w:type="fixed"/>
        <w:tblCellMar>
          <w:top w:w="0" w:type="dxa"/>
          <w:left w:w="108" w:type="dxa"/>
          <w:bottom w:w="0" w:type="dxa"/>
          <w:right w:w="108" w:type="dxa"/>
        </w:tblCellMar>
      </w:tblPr>
      <w:tblGrid>
        <w:gridCol w:w="851"/>
        <w:gridCol w:w="2992"/>
        <w:gridCol w:w="2045"/>
        <w:gridCol w:w="1063"/>
        <w:gridCol w:w="992"/>
      </w:tblGrid>
      <w:tr>
        <w:tblPrEx>
          <w:tblLayout w:type="fixed"/>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序号 </w:t>
            </w:r>
          </w:p>
        </w:tc>
        <w:tc>
          <w:tcPr>
            <w:tcW w:w="2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10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tblPrEx>
          <w:tblLayout w:type="fixed"/>
          <w:tblCellMar>
            <w:top w:w="0" w:type="dxa"/>
            <w:left w:w="108" w:type="dxa"/>
            <w:bottom w:w="0" w:type="dxa"/>
            <w:right w:w="108" w:type="dxa"/>
          </w:tblCellMar>
        </w:tblPrEx>
        <w:trPr>
          <w:trHeight w:val="70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移动交互式血压测量训练及考核模型</w:t>
            </w:r>
          </w:p>
        </w:tc>
        <w:tc>
          <w:tcPr>
            <w:tcW w:w="204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NUI0300084ADC</w:t>
            </w:r>
          </w:p>
        </w:tc>
        <w:tc>
          <w:tcPr>
            <w:tcW w:w="10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5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全功能诊疗穿刺术模拟病人</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SUI0300029BDC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瘘管造口术护理模型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NUS0300035ADC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28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吸痰练习模型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NUS0300037ADC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44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胸腔闭式引流护理模型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SUS0300014ADC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打结训练模型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SUS0300021ADC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外科缝合包扎展示模型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SUS0300027ADC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多媒体心电图教学系统</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SUV0300034ADC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9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虚拟病房上消化道止血术训练软件</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SWL0600021ADC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9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胸腔闭式引流管拔管训练模型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SUS0300038ADC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阴道后穹窿穿刺训练模型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GYS0300001ADC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Layout w:type="fixed"/>
          <w:tblCellMar>
            <w:top w:w="0" w:type="dxa"/>
            <w:left w:w="108" w:type="dxa"/>
            <w:bottom w:w="0" w:type="dxa"/>
            <w:right w:w="108" w:type="dxa"/>
          </w:tblCellMar>
        </w:tblPrEx>
        <w:trPr>
          <w:trHeight w:val="67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胸腔闭式引流管拔管训练模型</w:t>
            </w:r>
          </w:p>
        </w:tc>
        <w:tc>
          <w:tcPr>
            <w:tcW w:w="20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SUS0300038ADC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bl>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护基实训室：</w:t>
      </w:r>
    </w:p>
    <w:tbl>
      <w:tblPr>
        <w:tblStyle w:val="8"/>
        <w:tblW w:w="7943" w:type="dxa"/>
        <w:jc w:val="center"/>
        <w:tblInd w:w="0" w:type="dxa"/>
        <w:tblLayout w:type="fixed"/>
        <w:tblCellMar>
          <w:top w:w="0" w:type="dxa"/>
          <w:left w:w="108" w:type="dxa"/>
          <w:bottom w:w="0" w:type="dxa"/>
          <w:right w:w="108" w:type="dxa"/>
        </w:tblCellMar>
      </w:tblPr>
      <w:tblGrid>
        <w:gridCol w:w="851"/>
        <w:gridCol w:w="3123"/>
        <w:gridCol w:w="1914"/>
        <w:gridCol w:w="1063"/>
        <w:gridCol w:w="992"/>
      </w:tblGrid>
      <w:tr>
        <w:tblPrEx>
          <w:tblLayout w:type="fixed"/>
          <w:tblCellMar>
            <w:top w:w="0" w:type="dxa"/>
            <w:left w:w="108" w:type="dxa"/>
            <w:bottom w:w="0" w:type="dxa"/>
            <w:right w:w="108" w:type="dxa"/>
          </w:tblCellMar>
        </w:tblPrEx>
        <w:trPr>
          <w:trHeight w:val="517"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序号 </w:t>
            </w:r>
          </w:p>
        </w:tc>
        <w:tc>
          <w:tcPr>
            <w:tcW w:w="31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191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10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tblPrEx>
          <w:tblLayout w:type="fixed"/>
          <w:tblCellMar>
            <w:top w:w="0" w:type="dxa"/>
            <w:left w:w="108" w:type="dxa"/>
            <w:bottom w:w="0" w:type="dxa"/>
            <w:right w:w="108" w:type="dxa"/>
          </w:tblCellMar>
        </w:tblPrEx>
        <w:trPr>
          <w:trHeight w:val="592"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全功能护理人（标配）</w:t>
            </w:r>
          </w:p>
        </w:tc>
        <w:tc>
          <w:tcPr>
            <w:tcW w:w="191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NUI0300047ADC</w:t>
            </w:r>
          </w:p>
        </w:tc>
        <w:tc>
          <w:tcPr>
            <w:tcW w:w="10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417"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交互式静脉注射训练模型</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SWL0600012ADC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6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交互式静脉留置针训练模型</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SWL0600013ADC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74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交互式臀部肌肉注射训练模型</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SWL0600014ADC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52"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交互式吸痰训练模型</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SWL0600006ADC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707"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高级全自动电脑心肺复苏模拟人</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KAY/CPR480</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720"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高级心肺复苏训练级考核系统</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EMI0300014ASC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高级静脉穿刺注射手臂模型</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NUS0300071DDC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鼻胃管及口腔护理模型人</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NUS0300067ADC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交互式四步触诊训练软件</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SWL0600017ADC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叩诊锤</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HS-401G21</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医用秒表</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标准型</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个</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多功能注射模块</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NUS0300014ADC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r>
      <w:tr>
        <w:tblPrEx>
          <w:tblLayout w:type="fixed"/>
          <w:tblCellMar>
            <w:top w:w="0" w:type="dxa"/>
            <w:left w:w="108" w:type="dxa"/>
            <w:bottom w:w="0" w:type="dxa"/>
            <w:right w:w="108" w:type="dxa"/>
          </w:tblCellMar>
        </w:tblPrEx>
        <w:trPr>
          <w:trHeight w:val="495" w:hRule="atLeast"/>
          <w:jc w:val="center"/>
        </w:trPr>
        <w:tc>
          <w:tcPr>
            <w:tcW w:w="851"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312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带解剖结构臀部注射模型</w:t>
            </w:r>
          </w:p>
        </w:tc>
        <w:tc>
          <w:tcPr>
            <w:tcW w:w="191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NUS0300025BDC</w:t>
            </w:r>
          </w:p>
        </w:tc>
        <w:tc>
          <w:tcPr>
            <w:tcW w:w="106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bl>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2．校外实习实训环境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学校要有足够数量的实习医院和综合医院。每20名学生配备一家实习单位。教学见习基地的临床指导教师、专业设施配备、业务范围能满足见习教学项目的要求。学生在各科室实习时间合计在5个月以上。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学校与校外实训基地签订协议书，明确管理职责；学校设置专职管理部门，配备专职人员进行校外实训基地的管理。</w:t>
      </w:r>
    </w:p>
    <w:p>
      <w:pPr>
        <w:keepNext w:val="0"/>
        <w:keepLines w:val="0"/>
        <w:pageBreakBefore w:val="0"/>
        <w:numPr>
          <w:ilvl w:val="0"/>
          <w:numId w:val="0"/>
        </w:numPr>
        <w:kinsoku/>
        <w:wordWrap/>
        <w:overflowPunct/>
        <w:topLinePunct w:val="0"/>
        <w:bidi w:val="0"/>
        <w:spacing w:line="360" w:lineRule="auto"/>
        <w:ind w:leftChars="0"/>
        <w:textAlignment w:val="auto"/>
        <w:outlineLvl w:val="1"/>
        <w:rPr>
          <w:rFonts w:hint="eastAsia" w:ascii="宋体" w:hAnsi="宋体" w:eastAsia="宋体" w:cs="宋体"/>
          <w:sz w:val="24"/>
          <w:szCs w:val="24"/>
          <w:lang w:eastAsia="zh-CN"/>
        </w:rPr>
      </w:pPr>
      <w:bookmarkStart w:id="23" w:name="_Toc27951"/>
      <w:r>
        <w:rPr>
          <w:rFonts w:hint="eastAsia" w:ascii="宋体" w:hAnsi="宋体" w:eastAsia="宋体" w:cs="宋体"/>
          <w:sz w:val="24"/>
          <w:szCs w:val="24"/>
          <w:lang w:eastAsia="zh-CN"/>
        </w:rPr>
        <w:t>（三）教学资源</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材、图书和数字资源依据前面课程设置。根据具体课程要求，结合学校学生实际情况具体提前制定每一学期的教材征订计划，通过审批后报教务科统一征订。生均图书不少于30册。构建专业教学资源库，包含课程课件、电子教案、视频课件、“微课”等。教学资源能够满足学生专业学习、教师专业教学研究、教学实施和社会服务需要。严格执行国家和省（区、市）关于教材选用的有关要求，健全本校教材选用制度。依据学校制定的校本教材开发管理规定，结合实际需要组织编写校本教材，开发教学资源。</w:t>
      </w:r>
    </w:p>
    <w:p>
      <w:pPr>
        <w:keepNext w:val="0"/>
        <w:keepLines w:val="0"/>
        <w:pageBreakBefore w:val="0"/>
        <w:numPr>
          <w:ilvl w:val="0"/>
          <w:numId w:val="0"/>
        </w:numPr>
        <w:kinsoku/>
        <w:wordWrap/>
        <w:overflowPunct/>
        <w:topLinePunct w:val="0"/>
        <w:bidi w:val="0"/>
        <w:spacing w:line="360" w:lineRule="auto"/>
        <w:ind w:leftChars="0"/>
        <w:textAlignment w:val="auto"/>
        <w:outlineLvl w:val="1"/>
        <w:rPr>
          <w:rFonts w:hint="eastAsia" w:ascii="宋体" w:hAnsi="宋体" w:eastAsia="宋体" w:cs="宋体"/>
          <w:sz w:val="24"/>
          <w:szCs w:val="24"/>
          <w:lang w:eastAsia="zh-CN"/>
        </w:rPr>
      </w:pPr>
      <w:bookmarkStart w:id="24" w:name="_Toc31074"/>
      <w:r>
        <w:rPr>
          <w:rFonts w:hint="eastAsia" w:ascii="宋体" w:hAnsi="宋体" w:eastAsia="宋体" w:cs="宋体"/>
          <w:sz w:val="24"/>
          <w:szCs w:val="24"/>
          <w:lang w:eastAsia="zh-CN"/>
        </w:rPr>
        <w:t>（四）教学方法</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倡导因材施教、因需施教，鼓励创新教学方法和策略，采用理实一体化教学、案例教学、项目教学等方法，坚持学中做、做中学。</w:t>
      </w:r>
    </w:p>
    <w:p>
      <w:pPr>
        <w:keepNext w:val="0"/>
        <w:keepLines w:val="0"/>
        <w:pageBreakBefore w:val="0"/>
        <w:numPr>
          <w:ilvl w:val="0"/>
          <w:numId w:val="0"/>
        </w:numPr>
        <w:kinsoku/>
        <w:wordWrap/>
        <w:overflowPunct/>
        <w:topLinePunct w:val="0"/>
        <w:bidi w:val="0"/>
        <w:spacing w:line="360" w:lineRule="auto"/>
        <w:ind w:leftChars="0"/>
        <w:textAlignment w:val="auto"/>
        <w:outlineLvl w:val="1"/>
        <w:rPr>
          <w:rFonts w:hint="eastAsia" w:ascii="宋体" w:hAnsi="宋体" w:eastAsia="宋体" w:cs="宋体"/>
          <w:sz w:val="24"/>
          <w:szCs w:val="24"/>
          <w:lang w:eastAsia="zh-CN"/>
        </w:rPr>
      </w:pPr>
      <w:bookmarkStart w:id="25" w:name="_Toc22885"/>
      <w:r>
        <w:rPr>
          <w:rFonts w:hint="eastAsia" w:ascii="宋体" w:hAnsi="宋体" w:eastAsia="宋体" w:cs="宋体"/>
          <w:sz w:val="24"/>
          <w:szCs w:val="24"/>
          <w:lang w:eastAsia="zh-CN"/>
        </w:rPr>
        <w:t>（五）教学评价</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评价应体现评价主体、评价方式、评价过程的多元化，即教师评价、学生互评与自我评价相结合，职业技能鉴定与学业考核相结合，校内评价与校外评价相结合，过程性评价与结果性评价相结合。注意吸纳家长、用人单位参与教学评价，重视毕业生跟踪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1.对学生的评价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生是教学评价的直接对象和最终归宿，对学生的评价特别是其学习效果理应作为教学评价构成的最主要的因素之一。教学中对于护理专业学生的评价既要检查和评价知识、技能和智力等认识领域的教学效果，又要检查评价态度、习惯、鉴赏、兴趣、意志、品德以及个性形成等情感领域的教学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2.对教师的评价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评价的范围不仅包括学生，也包括教师，既要对学生及其学习的结果进行评价，又需要评价教师及其教学质量。因此，教师教得如何，教师的敬业精神如何，教师的专业水平如何，教学方法是否适当，师生关系如何，教师的学历如何，教师的群体状况如何，教师与教学活动有关的一切方面尽在评价之列。所以对教师的评价既要包括教师的修养、教学技能，又要包括教学活动的各个环节，如教学目的是否明确，教学计划是否合理，教学组织与管理的严密性如何以及实践教学的实效性如何等。因为学生的学习效果更多地是直接由课堂的教学质量所决定的，整个教学评价归根结底是为提高学生的学习效果而服务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3.对学习与教学的支持系统的评价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评价是由诸多要素构成的有机系统。除对教师与学生的评价之外，还应该关注对学习与教学的支持服务系统的评价。因为它是教师的教与学生的学有效进行的必要条件，所以也应当成为教学评价的重要构成部分之一。比如，教室是否宽敞、明亮、卫生；教学所需的基本仪器设备和必要的实验材料是否齐备；教师或学生所需的教材、参考书等配置是否及时；是否有较好的软、硬件教学环境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4.对教学评价的评价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评价本身是一个循环往复的过程，对教学评价的评价既是一个评价周期的终点，同时也是下一个评价周期的起点。通过教学评价对教学进行调整，就必须对评价的方案、过程、结果进行再评价，为接下来的评价提供有效的信息。比如对于整个教学评价的设计、体系以及指标的评价，它能否准确地反映教学实际，它能在多大的真实程度上反映教学质量，它相对于本地本校的实际的适用性与可行性如何。</w:t>
      </w:r>
    </w:p>
    <w:p>
      <w:pPr>
        <w:keepNext w:val="0"/>
        <w:keepLines w:val="0"/>
        <w:pageBreakBefore w:val="0"/>
        <w:numPr>
          <w:ilvl w:val="0"/>
          <w:numId w:val="0"/>
        </w:numPr>
        <w:kinsoku/>
        <w:wordWrap/>
        <w:overflowPunct/>
        <w:topLinePunct w:val="0"/>
        <w:bidi w:val="0"/>
        <w:spacing w:line="360" w:lineRule="auto"/>
        <w:ind w:leftChars="0"/>
        <w:textAlignment w:val="auto"/>
        <w:outlineLvl w:val="1"/>
        <w:rPr>
          <w:rFonts w:hint="eastAsia" w:ascii="宋体" w:hAnsi="宋体" w:eastAsia="宋体" w:cs="宋体"/>
          <w:sz w:val="24"/>
          <w:szCs w:val="24"/>
          <w:lang w:eastAsia="zh-CN"/>
        </w:rPr>
      </w:pPr>
      <w:bookmarkStart w:id="26" w:name="_Toc12406"/>
      <w:r>
        <w:rPr>
          <w:rFonts w:hint="eastAsia" w:ascii="宋体" w:hAnsi="宋体" w:eastAsia="宋体" w:cs="宋体"/>
          <w:sz w:val="24"/>
          <w:szCs w:val="24"/>
          <w:lang w:eastAsia="zh-CN"/>
        </w:rPr>
        <w:t>（六）质量管理</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教学管理要更新观念，为课程改革、教与学的实施创造条件；要加强对教学过程的质量监控，促进教师教学能力的提升，保证教学质量。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管理工作应在规范性与灵活性的原则指导下，结合学校实际教学资源，体现专业特点，保证“教、学、做”三者结合，提高教学效果。为实现学生的早临床、多临床，应合理安排课程，调配教师，组织与管理好教学，提高校内实训室课内外的使用效率，积极与与校外实训基地协调合作，完成见习、实习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聘请中级以上职称的行业专家参与课程建设与教学活动，共同保证标准的实施质量。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加强对教学的质量监控，改革教学评价的标准和方法，针对教学过程中的问题进行探索和研究，促进教师教学能力和科研水平的提升，保证教学质量。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27" w:name="_Toc30499"/>
      <w:r>
        <w:rPr>
          <w:rFonts w:hint="eastAsia" w:ascii="宋体" w:hAnsi="宋体" w:eastAsia="宋体" w:cs="宋体"/>
          <w:sz w:val="24"/>
          <w:szCs w:val="24"/>
          <w:lang w:eastAsia="zh-CN"/>
        </w:rPr>
        <w:t>十一、毕业要求</w:t>
      </w:r>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毕业要求是学生通过规定年限的学习，修满专业人才培养方案所规定的学时，所有课程均合格，达到本专业人才培养目标和培养规格的要求。鼓励应运用大数据等信息化手段记录、分析学生成长记录档案、职业素养达标等方面的内容，纳入综合素质考核，并将考核情况作为是否准予毕业的重要依据。</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28" w:name="_Toc27629"/>
      <w:r>
        <w:rPr>
          <w:rFonts w:hint="eastAsia" w:ascii="宋体" w:hAnsi="宋体" w:eastAsia="宋体" w:cs="宋体"/>
          <w:b/>
          <w:bCs/>
          <w:sz w:val="24"/>
          <w:szCs w:val="24"/>
          <w:lang w:eastAsia="zh-CN"/>
        </w:rPr>
        <w:t>十二、其它</w:t>
      </w:r>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校可以结合就业、升学需求，选择开设老年护理、社区护理、急救护理、助产护理等专业技能方向的课程；也可以选择教育部《中等职业学校专业目录》护理专业中列举的其他专业技能方向或自行设置其他专业技能方向，在本标准基础上合并、调整、补充核心课程，制定专业方向课程。还可以结合护理学历教育通科性的要求，不单独开设专业方向，而经课题研究，探索新型人才培养模式及生命周期等课程模式，与护士执业资格准入标准相对接。</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29" w:name="_Toc28113"/>
      <w:r>
        <w:rPr>
          <w:rFonts w:hint="eastAsia" w:ascii="宋体" w:hAnsi="宋体" w:eastAsia="宋体" w:cs="宋体"/>
          <w:b/>
          <w:bCs/>
          <w:sz w:val="24"/>
          <w:szCs w:val="24"/>
          <w:lang w:eastAsia="zh-CN"/>
        </w:rPr>
        <w:t>十三、《解剖学基础》课程标准</w:t>
      </w:r>
      <w:bookmarkEnd w:id="29"/>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课程名称：解剖学基础</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课程编号：10080112</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适用专业：临床护理专业</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课程类别：专业核心课</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教学时数：72</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    分：4</w:t>
      </w:r>
    </w:p>
    <w:p>
      <w:pPr>
        <w:keepNext w:val="0"/>
        <w:keepLines w:val="0"/>
        <w:pageBreakBefore w:val="0"/>
        <w:kinsoku/>
        <w:wordWrap/>
        <w:overflowPunct/>
        <w:topLinePunct w:val="0"/>
        <w:bidi w:val="0"/>
        <w:spacing w:line="360" w:lineRule="auto"/>
        <w:textAlignment w:val="auto"/>
        <w:outlineLvl w:val="1"/>
        <w:rPr>
          <w:rFonts w:hint="eastAsia" w:ascii="宋体" w:hAnsi="宋体" w:eastAsia="宋体" w:cs="宋体"/>
          <w:b w:val="0"/>
          <w:bCs w:val="0"/>
          <w:sz w:val="24"/>
          <w:szCs w:val="24"/>
          <w:lang w:eastAsia="zh-CN"/>
        </w:rPr>
      </w:pPr>
      <w:bookmarkStart w:id="30" w:name="_Toc22347"/>
      <w:r>
        <w:rPr>
          <w:rFonts w:hint="eastAsia" w:ascii="宋体" w:hAnsi="宋体" w:eastAsia="宋体" w:cs="宋体"/>
          <w:b w:val="0"/>
          <w:bCs w:val="0"/>
          <w:sz w:val="24"/>
          <w:szCs w:val="24"/>
          <w:lang w:eastAsia="zh-CN"/>
        </w:rPr>
        <w:t>一、前言</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解剖学基础是研究正常人体形态、结构及其发生发育规律的一门课程，包括解剖学和组织胚胎学，是重要的医学基础课。本课程的主要内容为正常组织结构，各系统器官的组成、位置、形态等。本课程的任务是使学生通过学习获得有关正常人体的形态、结构等基本知识和基本理论，掌握解剖学课程实践操作的基本技能，培养和形成良好的职业素质和职业操守，并具有结合生活实际、临床疾病进行应用的能力，同时为学习医学后续课程奠定基础。</w:t>
      </w:r>
    </w:p>
    <w:p>
      <w:pPr>
        <w:keepNext w:val="0"/>
        <w:keepLines w:val="0"/>
        <w:pageBreakBefore w:val="0"/>
        <w:kinsoku/>
        <w:wordWrap/>
        <w:overflowPunct/>
        <w:topLinePunct w:val="0"/>
        <w:bidi w:val="0"/>
        <w:spacing w:line="360" w:lineRule="auto"/>
        <w:textAlignment w:val="auto"/>
        <w:outlineLvl w:val="1"/>
        <w:rPr>
          <w:rFonts w:hint="eastAsia" w:ascii="宋体" w:hAnsi="宋体" w:eastAsia="宋体" w:cs="宋体"/>
          <w:b w:val="0"/>
          <w:bCs w:val="0"/>
          <w:sz w:val="24"/>
          <w:szCs w:val="24"/>
          <w:lang w:eastAsia="zh-CN"/>
        </w:rPr>
      </w:pPr>
      <w:bookmarkStart w:id="31" w:name="_Toc23962"/>
      <w:r>
        <w:rPr>
          <w:rFonts w:hint="eastAsia" w:ascii="宋体" w:hAnsi="宋体" w:eastAsia="宋体" w:cs="宋体"/>
          <w:b w:val="0"/>
          <w:bCs w:val="0"/>
          <w:sz w:val="24"/>
          <w:szCs w:val="24"/>
          <w:lang w:eastAsia="zh-CN"/>
        </w:rPr>
        <w:t>二、课程目标</w:t>
      </w:r>
      <w:bookmarkEnd w:id="31"/>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了解：了解人体胚胎发育概况。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熟悉：熟悉正常人体的组织结构。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掌握：掌握正常人体的组成，各系统主要器官的形态、位置。</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（二）技能目标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能识别各系统主要器官的形态、结构、能规范地进行基本实践操作，会运用解剖学的基本知识分析、解释临床问题。</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（三）态度目标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培养学生良好的职业道德修养、人际沟通能力和团结协作精神；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培养学生严谨求学的学习态度、科学的思维能力和创新精神。</w:t>
      </w:r>
    </w:p>
    <w:p>
      <w:pPr>
        <w:keepNext w:val="0"/>
        <w:keepLines w:val="0"/>
        <w:pageBreakBefore w:val="0"/>
        <w:numPr>
          <w:ilvl w:val="0"/>
          <w:numId w:val="3"/>
        </w:numPr>
        <w:kinsoku/>
        <w:wordWrap/>
        <w:overflowPunct/>
        <w:topLinePunct w:val="0"/>
        <w:bidi w:val="0"/>
        <w:spacing w:line="360" w:lineRule="auto"/>
        <w:ind w:leftChars="0"/>
        <w:textAlignment w:val="auto"/>
        <w:outlineLvl w:val="1"/>
        <w:rPr>
          <w:rFonts w:hint="eastAsia" w:ascii="宋体" w:hAnsi="宋体" w:eastAsia="宋体" w:cs="宋体"/>
          <w:sz w:val="24"/>
          <w:szCs w:val="24"/>
          <w:lang w:eastAsia="zh-CN"/>
        </w:rPr>
      </w:pPr>
      <w:bookmarkStart w:id="32" w:name="_Toc4581"/>
      <w:r>
        <w:rPr>
          <w:rFonts w:hint="eastAsia" w:ascii="宋体" w:hAnsi="宋体" w:eastAsia="宋体" w:cs="宋体"/>
          <w:sz w:val="24"/>
          <w:szCs w:val="24"/>
          <w:lang w:eastAsia="zh-CN"/>
        </w:rPr>
        <w:t>课程内容与要求</w:t>
      </w:r>
      <w:bookmarkEnd w:id="32"/>
    </w:p>
    <w:tbl>
      <w:tblPr>
        <w:tblStyle w:val="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201"/>
        <w:gridCol w:w="1260"/>
        <w:gridCol w:w="1620"/>
        <w:gridCol w:w="72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1047"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单元</w:t>
            </w:r>
          </w:p>
        </w:tc>
        <w:tc>
          <w:tcPr>
            <w:tcW w:w="3201"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教学内容</w:t>
            </w:r>
          </w:p>
        </w:tc>
        <w:tc>
          <w:tcPr>
            <w:tcW w:w="1260"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教学要求</w:t>
            </w:r>
          </w:p>
        </w:tc>
        <w:tc>
          <w:tcPr>
            <w:tcW w:w="1620"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教学活动</w:t>
            </w:r>
          </w:p>
        </w:tc>
        <w:tc>
          <w:tcPr>
            <w:tcW w:w="1636" w:type="dxa"/>
            <w:gridSpan w:val="2"/>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 w:hRule="atLeast"/>
        </w:trPr>
        <w:tc>
          <w:tcPr>
            <w:tcW w:w="1047"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3201"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260"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620"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w:t>
            </w:r>
          </w:p>
        </w:tc>
        <w:tc>
          <w:tcPr>
            <w:tcW w:w="916"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一、绪论</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（一）解剖学基础的定义与地位</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（二）人体解剖学发展简史</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（三）常用人体的组成和分部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（四）解剖学术语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（五）学习的观点与方法</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二、细胞与基本组织</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（一）细胞</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1.细胞的形态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2.细胞的结构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（二）上皮组织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1.被覆上皮</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2.腺上皮和腺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3.上皮组织的特殊结构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（三）结缔组织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1.固有结缔组织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2.软骨组织和软骨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3.骨组织和骨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4.血液</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（四）肌组织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1.骨骼肌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2.心肌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3.平滑肌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（五）神经组织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1.神经元</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2.神经胶质细胞</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3.神经纤维</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4.神经末梢</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实物观察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实践1：显微镜的构造和使用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实践2：被覆上皮、疏松结缔组织、肌组织、神经元等结构</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0"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三、运动系统</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（一）骨和骨组织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2.全身骨及其连结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（二）骨骼肌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2.头肌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3.颈肌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4.躯干肌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5.四肢肌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实践3：躯干骨及其连结（第7颈椎棘突、胸骨角、肋弓）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实践4：颅骨及其连结（翼点、下颌角、乳突、颞下颌关节）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实践5：四肢骨及其连结（肩胛骨下角、髂嵴、髂前上棘、坐骨结节等、肩、肘、腕、髋、膝、踝关节）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实践6：骨骼肌（三头肌、臀大肌、胸锁乳图肌、股四头肌等肌性标志）</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实物演示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标本、模型、</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活体观察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047" w:type="dxa"/>
            <w:tcBorders>
              <w:bottom w:val="nil"/>
            </w:tcBorders>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四、消化系统</w:t>
            </w:r>
          </w:p>
        </w:tc>
        <w:tc>
          <w:tcPr>
            <w:tcW w:w="3201"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1.消化系统的组成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2.消化管壁的结构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3.胸、腹部标志线和腹部分区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（二）消化管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1.口腔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3.食管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4.胃</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5.小肠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6.大肠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（三）消化腺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1.肝</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（四）腹膜</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1.腹膜与腹膜腔的概念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2.腹膜与脏器的关系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3.腹膜形成的结构</w:t>
            </w:r>
          </w:p>
        </w:tc>
        <w:tc>
          <w:tcPr>
            <w:tcW w:w="1260"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20"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实物演示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20"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916"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47" w:type="dxa"/>
            <w:tcBorders>
              <w:top w:val="nil"/>
            </w:tcBorders>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201"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260"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620"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0"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916"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五、呼吸系统</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（一）呼吸道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3.、气管与主支气管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1.位置与形态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2.肺段支气管和支气管肺段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3.微细结构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4.肺的血管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（三）胸膜与纵膈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1.胸膜与胸膜腔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2.胸膜与肺下界的体表投影</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3.纵膈</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实物演示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1"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六、泌尿系统</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（一）肾</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1.肾的形态与位置</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2.肾的被膜与剖面结构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3.肾的微细结构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（二）输尿管道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1.输尿管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2.膀胱</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3.女性尿道</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模型、演示观察</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七、生殖系统</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（一）男性生殖系统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1.生殖腺（睾丸）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2.生殖管道（附睾、输精管、射精管）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3.附属腺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4.外生殖器（阴囊和阴茎）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5.男性尿道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（二）女性生殖系统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1.生殖腺（卵巢）</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2.输卵管道（输卵管、子宫、阴道）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3.女性外阴</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模型、演示观察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八、脉管系统</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（二）心</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1.心的位置和外形</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2.心腔结构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3.心壁结构与传导系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4.心的血管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5.心包</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6.心的体表投影</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（三）血管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1.血管的结构特点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2.肺循环的血管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3.体循环的动脉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4.体循环的静脉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（四）淋巴系统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1.淋巴管道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2.淋巴器官</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模型、演示观察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九、感觉器</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（一）视器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1.眼球壁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2.眼球内容物</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3.眼副器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（二）前庭蜗器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1.外耳</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2.中耳</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3.内耳</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模型观察</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十、神经系统</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1.神经系统组成和功能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2.神经系统常用术语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（二）中枢神经系统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1.脊髓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2.脑</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3.脑和脊髓的被膜、血管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4.脑脊液循环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（三）周围神经系统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1.脊神经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2.脑神经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3.内脏神经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（四）脑和脊髓的传导通路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1.感觉传导路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2.运动传导路</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十一、内分泌系统</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（一）垂体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1.垂体的位置</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2.垂体的分布和功能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（二）甲状腺及甲状旁腺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1.甲状腺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2.甲状旁腺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（三）肾上腺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1.肾上腺皮质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2.肾上腺髓质</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十二、人体胚胎概要</w:t>
            </w:r>
          </w:p>
        </w:tc>
        <w:tc>
          <w:tcPr>
            <w:tcW w:w="3201"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（一）生殖细胞的组成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1.男性生殖细胞的生成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2.女性生殖细胞的生成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（二）受精与卵裂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1.受精</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2.卵裂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（三）植入与蜕膜</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1.植入</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2.蜕膜</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（四）三胚层的形成与分化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（五）胎膜与胎盘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1.胎膜</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2.胎盘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（六）胎儿血液循环特点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（七）双胎与多胎</w:t>
            </w:r>
          </w:p>
        </w:tc>
        <w:tc>
          <w:tcPr>
            <w:tcW w:w="126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72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1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bl>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33" w:name="_Toc12554"/>
      <w:r>
        <w:rPr>
          <w:rFonts w:hint="eastAsia" w:ascii="宋体" w:hAnsi="宋体" w:eastAsia="宋体" w:cs="宋体"/>
          <w:sz w:val="24"/>
          <w:szCs w:val="24"/>
          <w:lang w:eastAsia="zh-CN"/>
        </w:rPr>
        <w:t>四、实施建议</w:t>
      </w:r>
      <w:bookmarkEnd w:id="3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在教学过程中积极采用现代化教学手段，加强直观教学，充分发挥教师的主导作用和学生的主体作用。理论教学注重联系实际，组织学生开展必要的讨论，以培养学生的学习能力和分析问题能力，使学生加深对教学内容的理解和掌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2．实践教学充分利用教学资源，结合标本、模型、电教、多媒体等，采用讲授、演示、观察、讨论等教学形式，调动学生学习的积极性，发挥学生的主观能动性，强化学生的动手能力和专业技能训练。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3．教学评价应通过课堂提问、单元测试、实验考核、期末考试等多种形式综合考评，注重对学生学习能力、动手能力、应用新知识能力的考核。</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34" w:name="_Toc10873"/>
      <w:r>
        <w:rPr>
          <w:rFonts w:hint="eastAsia" w:ascii="宋体" w:hAnsi="宋体" w:eastAsia="宋体" w:cs="宋体"/>
          <w:sz w:val="24"/>
          <w:szCs w:val="24"/>
          <w:lang w:eastAsia="zh-CN"/>
        </w:rPr>
        <w:t>五、教学要求</w:t>
      </w:r>
      <w:bookmarkEnd w:id="34"/>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（一）教材编写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1．必须依据本课程标准编写教材。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教材编写本着“以服务为宗旨，以岗位需求为导向”的卫生职业教育办学方针，坚持以就业为导向，以能力为本位的指导思想，注重“三基”，即基础理论、基本知识、基本技能；保证“五性”，即先进性、思想性、科学性、启发性和适应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材除绪论外，由细胞与基本组织、运动系统、消化系统、呼吸系统、泌尿系统、生殖系统、脉管系统、感觉器官、神经系统、内分泌系统、人体胚胎概要共十一章组成。教材特点：（1）突出三贴近：贴近社会、贴近岗位、贴近学生。强调职业需要，以够用为原则，删减高深繁琐的内容；（2）每章前的科普化导言，引导学习目标；适应中职学生年龄特点，培养学生学习兴趣和能力；（3）趣味性的学科知识点和临床案列穿插在正文中，更能激发学生的求知欲望和科学进取精神；（4）思考题具有很强的启发性，紧扣职业证书、职业教育考试，供学生参考应用。</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基本教学范式为：“第一环节：能力发展动员；第二环节：已有能力诊断；第三环节：能力发展教学；第四环节：能力发展鉴定；第五环节：能力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其中，“能力发展教学”环节又分四步进行，即即采取小组教学的方式和“任务、行动、展示和评价”的程序与方法，让学生掌握能力发展所必须的知识、技能和态度。这是本教学模式的核心环节。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三个基本特征是：教学形式的分组教学（不排除一定的大课教学）；教学时间的教少学多（一般是教的时间不多于三分之一，学的时间不少于三分之二，也不排除例外的情况）；教学运行的前诊（断）后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“五环四步三特征”能力本位职业教育课堂教学模式所指的课堂，从场地上讲，可以是传统教室课堂，也可以是校内实训基地课堂，还可以是校外职场课堂。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本专业推广应用“五环四步”教学模式，实施模拟、模块化教学。</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（三）教学条件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专业教师应定期深入护理工作一线，提高自己的技术水平和实践能力。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专业课教师中，应有1或2名学科带头人。学科带头人应具备本科及以上学历、具备高级职称任职资格，在当地护理行业具有较高的知名度与影响力，教学研究和科研能力素质优秀，具有丰富的专业理论与实践教学经历，在学校护理专业的建设与发展中发挥着良好的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建立稳定的行业专家兼职教师队伍，兼职教师应具备本科及以上学历，具有中级以上技术支撑和丰富的临床工作经验，具有良好的职业道德素养。对护理专业教学与人才培养目标有清晰的研究和认识，在学校教学及对专任教师的指导等专业建设与发展中起到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专任教师应具有相关专业本科及以上学历，并具有中等职业学校教师资格证书、相关执业资格证书。</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（四）教学评价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1.学校评价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（1）学生学业评价采取过程性评价与目标考核相结合，评价中注重过程性、激励性和发展性。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（2）素质评价主要由班主任、学生处、保卫科、团委组成，对学生的纪律、文明素养、参加社团活动、健康状况等进行综合评价。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2.行业评价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行业评价以技能等级鉴定为主线，将这条主线贯穿于专业理论和技能教学的全过程，鉴定标准为国家标准获行业标准。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企业评价包含以下几方面：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（1）企业专家到校上课，对学生的知识和技能掌握情况进行评价。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（2）企业师傅对学生到企业学习的评价。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（3）企业师傅对学生到企业顶岗实习的评价。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以上评价模式均以学分制为实施工具进行具体操作。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（五）教学资源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（1）标本 （2）模型 （3）活体 （4）电子教案 （5）PPT</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35" w:name="_Toc22723"/>
      <w:r>
        <w:rPr>
          <w:rFonts w:hint="eastAsia" w:ascii="宋体" w:hAnsi="宋体" w:eastAsia="宋体" w:cs="宋体"/>
          <w:b/>
          <w:bCs/>
          <w:sz w:val="24"/>
          <w:szCs w:val="24"/>
          <w:lang w:eastAsia="zh-CN"/>
        </w:rPr>
        <w:t>十四、《生理学基础》课程标准</w:t>
      </w:r>
      <w:bookmarkEnd w:id="35"/>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课程名称：生理学基础</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课程编号：10080113</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适用专业：临床护理专业</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课程类别：专业核心课</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教学时数：36</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36" w:name="_Toc24723"/>
      <w:r>
        <w:rPr>
          <w:rFonts w:hint="eastAsia" w:ascii="宋体" w:hAnsi="宋体" w:eastAsia="宋体" w:cs="宋体"/>
          <w:sz w:val="24"/>
          <w:szCs w:val="24"/>
          <w:lang w:eastAsia="zh-CN"/>
        </w:rPr>
        <w:t>一、前言</w:t>
      </w:r>
      <w:bookmarkEnd w:id="3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生理学是研究正常人体功能活动及其规律的实验科学，是护理学专业重要的基础课程之一。本课程内容包括绪论、细胞的基本功能、血液、血液循环、呼吸生理、消化和吸收、能量代谢和体温、尿的生成与排出、感觉器官、神经系统的功能、内分泌、生殖等生理学方面的基本知识。生理学的教学任务是使学生掌握和了解现代生理学的基本理论、基本知识，了解生理学的发展现状，学会从细胞、器官、系统水平，特别是从整体水平，理解人体生理学功能的调节以及机制，为学习其他医学基础课程、护理、护理操作技能等提供理论基础，为医护人员提高自身业务素质和增强适应职业变化的能力奠定坚实的基础，从而更好地从事临床护理和社区卫生护理工作。</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37" w:name="_Toc10696"/>
      <w:r>
        <w:rPr>
          <w:rFonts w:hint="eastAsia" w:ascii="宋体" w:hAnsi="宋体" w:eastAsia="宋体" w:cs="宋体"/>
          <w:sz w:val="24"/>
          <w:szCs w:val="24"/>
          <w:lang w:eastAsia="zh-CN"/>
        </w:rPr>
        <w:t>二、课程目标</w:t>
      </w:r>
      <w:bookmarkEnd w:id="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了解：了解生理学的研究内容和任务；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熟悉：熟悉生理学与临床疾病相关的生物、心理、社会因素及评估和干预方法。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掌握：掌握人体及其各器官系统的主要生理功能。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（二）技能目标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学会：学会生理学实验常见液体的用途，学会使用常见的生理学实验仪器。并要求学生能按照实验指导，正确进行实验操作，培养学生仔细观察和准确记录实验过程并分析实验现象的能力。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熟练掌握：能熟练运用生理学知识并掌握血压、脉搏、体温等重要生命体征检查和测量的基本技能和方法。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（三）态度目标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养学生热爱护理工作、救死扶伤、爱岗敬业、乐于奉献、精益求精的职业素质和良好的职业道德情操；培养学生严谨求实、开拓创新的学习精神，培养学生的科学思维能力。培养学生团结协作、助人为乐的团队精神和良好品德。</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38" w:name="_Toc8748"/>
      <w:r>
        <w:rPr>
          <w:rFonts w:hint="eastAsia" w:ascii="宋体" w:hAnsi="宋体" w:eastAsia="宋体" w:cs="宋体"/>
          <w:sz w:val="24"/>
          <w:szCs w:val="24"/>
          <w:lang w:eastAsia="zh-CN"/>
        </w:rPr>
        <w:t>三、课程内容与要求</w:t>
      </w:r>
      <w:bookmarkEnd w:id="38"/>
    </w:p>
    <w:tbl>
      <w:tblPr>
        <w:tblStyle w:val="8"/>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720"/>
        <w:gridCol w:w="720"/>
        <w:gridCol w:w="720"/>
        <w:gridCol w:w="720"/>
        <w:gridCol w:w="72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7" w:hRule="atLeast"/>
        </w:trPr>
        <w:tc>
          <w:tcPr>
            <w:tcW w:w="4248"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教学内容</w:t>
            </w:r>
          </w:p>
        </w:tc>
        <w:tc>
          <w:tcPr>
            <w:tcW w:w="4658" w:type="dxa"/>
            <w:gridSpan w:val="6"/>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248"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2160" w:type="dxa"/>
            <w:gridSpan w:val="3"/>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w:t>
            </w:r>
          </w:p>
        </w:tc>
        <w:tc>
          <w:tcPr>
            <w:tcW w:w="2498" w:type="dxa"/>
            <w:gridSpan w:val="3"/>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4248"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一、绪论</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2.生命的基本特征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（1）新陈代谢</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（2）兴奋性</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（3）生殖</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3.机体与环境</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（1）人体对外环境的适应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（2）内环境及其稳态</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4.机体活动的调节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（1）机体功能活动调节的方式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（2）机体功能调节的自动控制</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二、细胞</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1.细胞膜的功能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（1）细胞膜的物质转运功能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（2）细胞的跨膜信息传递</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（3）细胞的跨膜电变化</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2.肌细胞的收缩功能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（1）骨骼肌的收缩原理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（2）骨骼肌的收缩形式</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三、血液</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1.血量和血液的理化特性</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（1）血量及血细胞比容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（2）血液的理化特性</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2.血浆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（1）血浆的成分及其作用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（2）血浆渗透压</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3.血细胞</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（1）红细胞</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（2）白细胞</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（3）血小板</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4.血液凝固与纤维蛋白溶解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（1）血液凝固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（2）纤维蛋白溶解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实验1：出血时间、凝血时间的测定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实验2：血液凝固和影响血液凝固的因素</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5.血型</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（1）ABO血型系统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（2）Rh血型系统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实验3：ABO血型系统的鉴定</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四、血液循环</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1.心脏生理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（1）心脏的泵血功能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（2）心肌细胞的生物电现象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（3）心肌细胞的生理特性</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（4）心电图</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（5）心脏的内分泌功能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实验4：正常人体心音听诊</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2.血管生理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（1）动脉血压与脉搏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（2）静脉血压与静脉血流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（3）微循环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（4）组织液与淋巴液</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实验5：人体动脉血压测量</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3.心血管活动的调节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（1）神经调节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（2）体液调节</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4.心、肺、脑的血流特点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（1）冠脉循环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（2）肺循环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（3）脑循环</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五、呼吸</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1.肺通气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（1）肺通气的动力</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（2）肺通气的阻力</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（3）肺通气功能评价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实验6：人体肺通气功能的测定</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2.气体的交换和运输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（1）气体的交换</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（2）气体在血液中的运输</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3.呼吸运动的调节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（1）呼吸中枢</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（2）呼吸反射</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六、消化和吸收</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1.消化管各段的消化功能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（1）口腔内消化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（2）胃内消化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（3）小肠内消化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（4）大肠的功能</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2.吸收</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（1）吸收的部位</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（2）主要营养物质的吸收</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3.消化器官活动调节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（1）神经调节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（2）体液调节</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七、能量代谢和体温</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1.能量代谢</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（1）能量的来源、储存、转移和利用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（2）影响能量代谢的因素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（3）基础代谢</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2.体温</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（1）正常体温及其生理变动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（2）机体的产热和散热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（3）体温调节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实验7：人体体温测量</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八、肾的排泄</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（1）排泄的概念与途径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（2）肾的功能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（3）尿液</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2.尿生成过程</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（1）肾小球的滤过功能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（2）肾小管和集合管的重吸收功能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（3）肾小管和集合管的分泌排泄功能</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3.调节和影响尿生成的因素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（1）影响肾小球滤过的因素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（2）影响肾小管和集合管功能的因素</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4.尿的浓缩和稀释</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（1）尿的浓缩和稀释过程</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（2）肾髓质渗透压梯度的形成和保持</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5.尿的贮存与排放</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（1）尿的输送和贮存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（2）尿的排放</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九、感觉器官</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（1）感受器和感觉器官的概念和分类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（2）感受器的生理特性</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2.视觉器官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（1）眼的折光功能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（2）眼的感光功能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（3）与视觉有关的几种生理现象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实验8：视力测定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实验9：色觉检查</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3.听觉器官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（1）外耳和中耳的功能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（2）内耳的感音功能</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4.前庭器官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（1）椭圆囊、球囊的功能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（2）半规管的功能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（3）前庭反应</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十、神经系统</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1.反射活动的一般规律</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（1）突触与突触传递</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（2）神经-肌肉接头与接头传递</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（3）反射中枢的活动</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2.神经系统的感觉功能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（1）脊髓与脑干的传导功能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（2）丘脑及感觉投射系统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（3）大脑皮质的感觉分析功能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（4）痛觉</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3.神经系统对躯体运动的调节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（1）脊髓对躯体运动的调节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（2）脑干对躯体运动的调节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（3）小脑对躯体运动的调节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（4）基底神经节对躯体运动的调节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（5）大脑皮质对躯体运动的调节</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4.神经系统对内脏活动的调节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（1）自主神经的主要功能及生理意义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（2）自主神经的递质和受体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（3）内脏活动的中枢调节</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5.脑的高级功能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（1）条件反射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（2）人类大脑皮质活动的特征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（3）学习和记忆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（4）觉醒与睡眠</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十一、内分泌</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（1）激素的分类和作用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（2）激素作用的一般特征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（3）激素的作用机制</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2.下丘脑和垂体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（1）下丘脑和垂体的联系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（2）腺垂体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（3）神经垂体</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3.甲状腺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（1）甲状腺素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（2）甲状旁腺素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（3）降钙素（CT）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4.肾上腺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（1）肾上腺皮质激素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（2）肾上腺髓质激素</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5.胰岛</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（1）胰岛素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（2）胰高血糖素</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十二、生殖</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1.男性生殖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（1）睾丸的功能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（2）睾丸功能的调节</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2.女性生殖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（1）卵巢的功能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（2）月经周期及其形成机制</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3.妊娠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（1）受精与着床</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（2）胎盘的内分泌功能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（3）分娩与哺乳</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十三、衰老</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1.人的寿命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（1）平均寿命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（2）自然寿命</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2.衰老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（1）什么是衰老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（2）衰老的特征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（3）衰老的原因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（4）延缓衰老</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20"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058" w:type="dxa"/>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r>
    </w:tbl>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39" w:name="_Toc6955"/>
      <w:r>
        <w:rPr>
          <w:rFonts w:hint="eastAsia" w:ascii="宋体" w:hAnsi="宋体" w:eastAsia="宋体" w:cs="宋体"/>
          <w:sz w:val="24"/>
          <w:szCs w:val="24"/>
          <w:lang w:eastAsia="zh-CN"/>
        </w:rPr>
        <w:t>四、实施建议</w:t>
      </w:r>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在教学过程中积极采用现代化教学手段，加强直观教学，充分发挥教师的主导作用和学生的主体作用。理论教学注重联系实际，组织学生开展必要的讨论，以培养学生的学习能力和分析问题能力，使学生加深对教学内容的理解和掌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2．实践教学充分利用教学资源，结合标本、模型、电教、多媒体等，采用讲授、演示、观察、讨论等教学形式，调动学生学习的积极性，发挥学生的主观能动性，强化学生的动手能力和专业技能训练。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3．教学评价应通过课堂提问、单元测试、实验考核、期末考试等多种形式综合考评，注重对学生学习能力、动手能力、应用新知识能力的考核。</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40" w:name="_Toc12062"/>
      <w:r>
        <w:rPr>
          <w:rFonts w:hint="eastAsia" w:ascii="宋体" w:hAnsi="宋体" w:eastAsia="宋体" w:cs="宋体"/>
          <w:sz w:val="24"/>
          <w:szCs w:val="24"/>
          <w:lang w:eastAsia="zh-CN"/>
        </w:rPr>
        <w:t>五、教学要求</w:t>
      </w:r>
      <w:bookmarkEnd w:id="4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（一）教材编写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1．必须依据本课程标准编写教材。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教材内容突出了基础理论知识的应用和实践能力的培养。基础理论知识本着以应用为目的，以“必须、够用”为度的精神，力求删繁就简、通俗易懂，着力提高教材的思想性、科学性、先进性、启发性和实用性，重点揭示正常人体（细胞、组织、器官、系统）的生理功能，着重为学生学习后续课程和终身学习打好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3．教材应以学生为本，文字通俗、表达简练，内容展现应图文并茂，图列与案例应引起学生的兴趣，重在提高学生学习的主动性和积极性。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基本教学范式为：“第一环节：能力发展动员；第二环节：已有能力诊断；第三环节：能力发展教学；第四环节：能力发展鉴定；第五环节：能力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其中，“能力发展教学”环节又分四步进行，即即采取小组教学的方式和“任务、行动、展示和评价”的程序与方法，让学生掌握能力发展所必须的知识、技能和态度。这是本教学模式的核心环节。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三个基本特征是：教学形式的分组教学（不排除一定的大课教学）；教学时间的教少学多（一般是教的时间不多于三分之一，学的时间不少于三分之二，也不排除例外的情况）；教学运行的前诊（断）后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“五环四步三特征”能力本位职业教育课堂教学模式所指的课堂，从场地上讲，可以是传统教室课堂，也可以是校内实训基地课堂，还可以是校外职场课堂。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本专业推广应用“五环四步”教学模式，实施模拟、模块化教学。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（三）教学条件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专业教师应定期深入护理工作一线，提高自己的技术水平和实践能力。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专业课教师中，应有1或2名学科带头人。学科带头人应具备本科及以上学历、具备高级职称任职资格，在当地护理行业具有较高的知名度与影响力，教学研究和科研能力素质优秀，具有丰富的专业理论与实践教学经历，在学校护理专业的建设与发展中发挥着良好的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建立稳定的行业专家兼职教师队伍，兼职教师应具备本科及以上学历，具有中级以上技术支撑和丰富的临床工作经验，具有良好的职业道德素养。对护理专业教学与人才培养目标有清晰的研究和认识，在学校教学及对专任教师的指导等专业建设与发展中起到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专任教师应具有相关专业本科及以上学历，并具有中等职业学校教师资格证书、相关执业资格证书。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（四）教学评价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1.学校评价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（1）学生学业评价采取过程性评价与目标考核相结合，评价中注重过程性、激励性和发展性。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（2）素质评价主要由班主任、学生处、保卫科、团委组成，对学生的纪律、文明素养、参加社团活动、健康状况等进行综合评价。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2.行业评价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行业评价以技能等级鉴定为主线，将这条主线贯穿于专业理论和技能教学的全过程，鉴定标准为国家标准获行业标准。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企业评价包含以下几方面：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（1）企业专家到校上课，对学生的知识和技能掌握情况进行评价。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（2）企业师傅对学生到企业学习的评价。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（3）企业师傅对学生到企业顶岗实习的评价。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以上评价模式均以学分制为实施工具进行具体操作。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（五）教学资源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（1）标本 （2）模型 （3）电子教案（4）PPT</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41" w:name="_Toc17954"/>
      <w:r>
        <w:rPr>
          <w:rFonts w:hint="eastAsia" w:ascii="宋体" w:hAnsi="宋体" w:eastAsia="宋体" w:cs="宋体"/>
          <w:b/>
          <w:bCs/>
          <w:sz w:val="24"/>
          <w:szCs w:val="24"/>
          <w:lang w:eastAsia="zh-CN"/>
        </w:rPr>
        <w:t>十五、《药物学基础》课程标准</w:t>
      </w:r>
      <w:bookmarkEnd w:id="41"/>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课程名称：药物应用护理</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课程编号：10080114</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适用专业：临床护理专业</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课程类别：专业核心课</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教学时数：72</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42" w:name="_Toc22888"/>
      <w:r>
        <w:rPr>
          <w:rFonts w:hint="eastAsia" w:ascii="宋体" w:hAnsi="宋体" w:eastAsia="宋体" w:cs="宋体"/>
          <w:sz w:val="24"/>
          <w:szCs w:val="24"/>
          <w:lang w:eastAsia="zh-CN"/>
        </w:rPr>
        <w:t>一、前言</w:t>
      </w:r>
      <w:bookmarkEnd w:id="4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《药物应用护理》是中等卫生护理、涉外护理、助产专业的一门重要的基础课程，本课程的主要内容包括药物的作用、用途、用法、不良反应和用药注意事项，具有药物应用护理的基本技能。</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43" w:name="_Toc25554"/>
      <w:r>
        <w:rPr>
          <w:rFonts w:hint="eastAsia" w:ascii="宋体" w:hAnsi="宋体" w:eastAsia="宋体" w:cs="宋体"/>
          <w:sz w:val="24"/>
          <w:szCs w:val="24"/>
          <w:lang w:eastAsia="zh-CN"/>
        </w:rPr>
        <w:t>二、课程目标</w:t>
      </w:r>
      <w:bookmarkEnd w:id="43"/>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了解：掌握药物应用的护理理论、抗微生物药、抗肿瘤药、神经系统药、麻醉药、抗组胺药、消化系统药、呼吸系统药、利尿药、脱水药、心血管药、激素类药物的应用和不良反应及注意事项。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熟悉：各种药物的作用、用途、不良反应和注意事项。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掌握：握药物的作用、用途、不量反应的基本知识，初步具备药物应用过程的护理技能。</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（二）技能目标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掌握了解各种药物的用药禁忌证、各种药物的不良反应和用药的注意事项、能规范地进行基本实践操作，具有观察药物疗效和不良反应的能力、具有对常见病非处方药的用药指导和药物咨询能力、具有准确换算药物剂量的能力，会运用药物学的基本知识分析、解释临床问题。</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（三）态度目标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1．培养学生良好的职业道德修养、人际沟通能力和团结协作精神；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2．培养学生严谨求学的学习态度、科学的思维能力和创新精神。</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44" w:name="_Toc20562"/>
      <w:r>
        <w:rPr>
          <w:rFonts w:hint="eastAsia" w:ascii="宋体" w:hAnsi="宋体" w:eastAsia="宋体" w:cs="宋体"/>
          <w:sz w:val="24"/>
          <w:szCs w:val="24"/>
          <w:lang w:eastAsia="zh-CN"/>
        </w:rPr>
        <w:t>三、课程内容与要求</w:t>
      </w:r>
      <w:bookmarkEnd w:id="44"/>
    </w:p>
    <w:tbl>
      <w:tblPr>
        <w:tblStyle w:val="8"/>
        <w:tblW w:w="9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4863"/>
        <w:gridCol w:w="1232"/>
        <w:gridCol w:w="1542"/>
        <w:gridCol w:w="567"/>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979"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单元</w:t>
            </w:r>
          </w:p>
        </w:tc>
        <w:tc>
          <w:tcPr>
            <w:tcW w:w="4863"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教学内容</w:t>
            </w:r>
          </w:p>
        </w:tc>
        <w:tc>
          <w:tcPr>
            <w:tcW w:w="1232"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教学要求</w:t>
            </w:r>
          </w:p>
        </w:tc>
        <w:tc>
          <w:tcPr>
            <w:tcW w:w="1542"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教学活动</w:t>
            </w:r>
          </w:p>
        </w:tc>
        <w:tc>
          <w:tcPr>
            <w:tcW w:w="1293" w:type="dxa"/>
            <w:gridSpan w:val="2"/>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 w:hRule="atLeast"/>
          <w:jc w:val="center"/>
        </w:trPr>
        <w:tc>
          <w:tcPr>
            <w:tcW w:w="979"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4863"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232"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542"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567"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w:t>
            </w:r>
          </w:p>
        </w:tc>
        <w:tc>
          <w:tcPr>
            <w:tcW w:w="726"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0" w:hRule="atLeast"/>
          <w:jc w:val="center"/>
        </w:trPr>
        <w:tc>
          <w:tcPr>
            <w:tcW w:w="979"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一、药物应用护理理论</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（一）药物和药物应用护理理论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（二）药物应用的基本原理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1.药物的应用药物的基本作用和药物的类型，药物的作用机制（受体学说的基本概念）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2.药物的体内过程及其影响因素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3.给药与血药浓度的动态变化药物剂量与效应的关系，剂量的概念、治疗指数与安全系数、血药浓度的动态变化、时量关系及时效关系、血浆半衰期、稳态血浓度及其意义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4.初步拟定于执行给药方案，影响药物作用的因素，联合用药、药物的相互作用及意义</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掌握熟悉</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0" w:hRule="atLeast"/>
          <w:jc w:val="center"/>
        </w:trPr>
        <w:tc>
          <w:tcPr>
            <w:tcW w:w="979"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实践1.通过观察药物制剂及处方，了解药物的一般情况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实践2.动物的捉拿及给药方法，给药途径、药物剂量对药物作用的影响，认识影响药物作用的因素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实践3.观察禁忌配伍禁忌</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979"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二、抗微生物药</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（一）抗菌药物、抗生素与化学治疗的基本概念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（二）β内先氨类抗生素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1.常用天然青霉素的性状、抗菌谱、适应症、不良反应及用药注意事项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2.半合成青霉素的特点、适应证和用药注意事项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（三）大环内脂类、红霉素、乙酰螺旋霉素等的抗菌作用、用途、不良反应和用药注意事项、克林霉素的特点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（四）氨基糖苷类抗生素的共性、理解庆大霉素、大关霉素等的抗菌特点、用途、不良反应和用药注意事项</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5" w:hRule="atLeast"/>
          <w:jc w:val="center"/>
        </w:trPr>
        <w:tc>
          <w:tcPr>
            <w:tcW w:w="979"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（五）四环素的抗菌谱、适应证、不良反应和用药注意事项、怒霉素的特点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（六）奎诺酮类的抗菌作用特点、用途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（七）磺胺类药物与甲氧苄定的作用特点、用途、用药注意事项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（八）抗真菌药和抗病毒药的用途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（九）一线抗结核病药的抗结核作用特点、不良反应和用药注意事项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（十）医院常规消毒药和消毒防腐药的概念</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5" w:hRule="atLeast"/>
          <w:jc w:val="center"/>
        </w:trPr>
        <w:tc>
          <w:tcPr>
            <w:tcW w:w="979"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实践4.磺胺类药物溶解性实验及链霉素的毒性反应及抢救</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实践5.抗菌药物处方分析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实践6.病房常用消毒防腐药物的应用</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0"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三、抗瘤药物</w:t>
            </w:r>
          </w:p>
        </w:tc>
        <w:tc>
          <w:tcPr>
            <w:tcW w:w="4863" w:type="dxa"/>
            <w:noWrap w:val="0"/>
            <w:vAlign w:val="top"/>
          </w:tcPr>
          <w:p>
            <w:pPr>
              <w:keepNext w:val="0"/>
              <w:keepLines w:val="0"/>
              <w:pageBreakBefore w:val="0"/>
              <w:widowControl w:val="0"/>
              <w:numPr>
                <w:ilvl w:val="0"/>
                <w:numId w:val="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细胞增殖周期和药物作用环节分类</w:t>
            </w:r>
          </w:p>
          <w:p>
            <w:pPr>
              <w:keepNext w:val="0"/>
              <w:keepLines w:val="0"/>
              <w:pageBreakBefore w:val="0"/>
              <w:widowControl w:val="0"/>
              <w:numPr>
                <w:ilvl w:val="0"/>
                <w:numId w:val="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抗肿瘤药的主要不良反应和用药注意事项</w:t>
            </w:r>
          </w:p>
          <w:p>
            <w:pPr>
              <w:keepNext w:val="0"/>
              <w:keepLines w:val="0"/>
              <w:pageBreakBefore w:val="0"/>
              <w:widowControl w:val="0"/>
              <w:numPr>
                <w:ilvl w:val="0"/>
                <w:numId w:val="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常用抗肿瘤药物的作用、用途和用药注意事项</w:t>
            </w:r>
          </w:p>
          <w:p>
            <w:pPr>
              <w:keepNext w:val="0"/>
              <w:keepLines w:val="0"/>
              <w:pageBreakBefore w:val="0"/>
              <w:widowControl w:val="0"/>
              <w:numPr>
                <w:ilvl w:val="0"/>
                <w:numId w:val="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抗肿瘤药物的使用方法</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四、传出神经系药物</w:t>
            </w:r>
          </w:p>
        </w:tc>
        <w:tc>
          <w:tcPr>
            <w:tcW w:w="4863" w:type="dxa"/>
            <w:noWrap w:val="0"/>
            <w:vAlign w:val="top"/>
          </w:tcPr>
          <w:p>
            <w:pPr>
              <w:keepNext w:val="0"/>
              <w:keepLines w:val="0"/>
              <w:pageBreakBefore w:val="0"/>
              <w:widowControl w:val="0"/>
              <w:numPr>
                <w:ilvl w:val="0"/>
                <w:numId w:val="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传出神经系统按递质的分类、受体的类型、分布及其生理反应</w:t>
            </w:r>
          </w:p>
          <w:p>
            <w:pPr>
              <w:keepNext w:val="0"/>
              <w:keepLines w:val="0"/>
              <w:pageBreakBefore w:val="0"/>
              <w:widowControl w:val="0"/>
              <w:numPr>
                <w:ilvl w:val="0"/>
                <w:numId w:val="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拟胆碱药和胆碱酯酶抑制剂要毛果芸香碱、新斯的命的作用、用途、不量反应和用药注意事项</w:t>
            </w:r>
          </w:p>
          <w:p>
            <w:pPr>
              <w:keepNext w:val="0"/>
              <w:keepLines w:val="0"/>
              <w:pageBreakBefore w:val="0"/>
              <w:widowControl w:val="0"/>
              <w:numPr>
                <w:ilvl w:val="0"/>
                <w:numId w:val="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阿托品的作用用途、禁忌证和用药注意事项、山莨胆碱、东莨胆碱的用途</w:t>
            </w:r>
          </w:p>
          <w:p>
            <w:pPr>
              <w:keepNext w:val="0"/>
              <w:keepLines w:val="0"/>
              <w:pageBreakBefore w:val="0"/>
              <w:widowControl w:val="0"/>
              <w:numPr>
                <w:ilvl w:val="0"/>
                <w:numId w:val="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有机磷酸脂中毒的解救</w:t>
            </w:r>
          </w:p>
          <w:p>
            <w:pPr>
              <w:keepNext w:val="0"/>
              <w:keepLines w:val="0"/>
              <w:pageBreakBefore w:val="0"/>
              <w:widowControl w:val="0"/>
              <w:numPr>
                <w:ilvl w:val="0"/>
                <w:numId w:val="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肾上腺素的作用、用途、不良反应</w:t>
            </w:r>
          </w:p>
          <w:p>
            <w:pPr>
              <w:keepNext w:val="0"/>
              <w:keepLines w:val="0"/>
              <w:pageBreakBefore w:val="0"/>
              <w:widowControl w:val="0"/>
              <w:numPr>
                <w:ilvl w:val="0"/>
                <w:numId w:val="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麻黄碱的作用、用途多巴胺去甲肾上腺素、异丙肾上腺素、分妥拉明、普萘洛尔的有图</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实践7.毛果芸香碱与阿托品对腺体作用及对瞳孔作用的实验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实践8.香烟烟雾通过液对小鼠的毒性反应</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五、局部麻醉药</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（一）局部麻醉药的给药方法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（二）普鲁卡因店小二作用、用途、不良反应和用药注意事项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（三）利多卡因、丁卡因的用途</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842" w:type="dxa"/>
            <w:gridSpan w:val="2"/>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实践9.普鲁卡因、丁卡因对小白鼠毒性和对家兔角膜的麻醉作用</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六、中枢神经系统药物</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（一）镇静催眠药地西泮的作用适应证、不良反应和用药注意事项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（二）巴比妥类药物的用途、急性中毒的解救</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（三）抗癫痫药苯妥英钠的作用、用途、不良反应和注意事项、比较其他常用抗癫痫药的作用特点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（四）抗精神病药录丙嗪的作用、用途不良反应和用药注意事项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（五）其他常用阿片受体激动药特点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（六）解热镇痛抗炎药的共同点、阿司匹林的作用、用途、不良反应和用药注意事项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（七）比较其他常用解热镇痛抗炎药的特点</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实践10.中枢抑制要的抗惊厥作用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实践11.派替啶的镇痛实验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实践12.抗精神药、镇痛药、解热镇痛抗炎药的用药护理</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七、抗组胺药作用于子宫的药物</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（一）苯海拉明的作用、用途、不良反应和用药注意事项、比较其他常用抗过敏反应药物的反应特点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（二）缩宫素、麦角新碱的作用、适应证、用药注意事项、前列腺素的适应证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（三）抗组胺药、子宫收缩要的用药护理</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4"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八、作用于消化系统的药物</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（一）抗消化性溃疡病药、止吐药剂胃肠促动力药、泻药与泻药的作用特点、用途、不良反应和用药注意事项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（二）硫酸镁的作用、用途、不良反应和用药注意事项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（三）消化系统药物的用药护理</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3"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九、作用于呼吸系统的药物</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（一）麻醉性镇咳药可待因的作用。用途、不良反应和用药注意事项、非麻醉性镇咳药的应用特点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（二）祛痰药的用途和用药注意事项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（三）平喘药的应用特点、用途和用药注意事项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（四）呼吸系统药的用药护理</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十、利尿药和脱水药</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（一）呋塞米、氢录噻嗪、螺内酯的作用、用途、不良反应和用药注意事项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（二）脱水药甘露醇、山梨醇、高渗葡萄糖的应用特点、注意事项</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5842" w:type="dxa"/>
            <w:gridSpan w:val="2"/>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实践13.利尿药、脱水药的用药护理</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十一、心血管系统药</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（一）抗高血压药、利尿剂、钙桔抗剂、β受体阻断药、血管紧张素转化酶抑制剂和AT1受体阻断药、交感神经系统抑制药、直接扩张血管药的作用特点、用途和用药注意事项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（二）肾素-血管紧张素-醛固酮系统抑制药和其他正性肌力药和血管扩张药的应用特点和用药注意事项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（三）抗心律失常药的适应证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（四）抗心绞痛药物的分类和应用</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5842" w:type="dxa"/>
            <w:gridSpan w:val="2"/>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实践14.心血管药物应用护理的相关要求</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多媒体演示、案例分析</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十二、血液和造血系统药</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（一）促凝血药、抗凝血药及溶栓药的作用、用途和用药注意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（二）抗贫血药铁剂、叶酸、维生素B12的作用、用途、和用药注意事项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（三）容量扩张充剂盐类和调节酸、碱平衡药的作用、用途、和用药注意事项</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理论讲授、讨论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5842" w:type="dxa"/>
            <w:gridSpan w:val="2"/>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实践15.血液系统药物应用护理的相关理论要求</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多媒体演示、案例分析</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8" w:hRule="atLeast"/>
          <w:jc w:val="center"/>
        </w:trPr>
        <w:tc>
          <w:tcPr>
            <w:tcW w:w="97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十三、激素类及相关药物</w:t>
            </w:r>
          </w:p>
        </w:tc>
        <w:tc>
          <w:tcPr>
            <w:tcW w:w="4863"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（一）肾上腺皮质激素类药物、糖皮质激素的药理作用、临床应用、不良反应和用药注意事项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（二）甲状腺素和抗甲状腺药、丙硫氧嘧啶、甲流咪唑、碘和碘化物、放射性碘和β受体阻断药等应用及用药注意事项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（三）降血糖药、胰岛素及其制剂和常用口服降血糖药的作用特点、用途、不良反应和用药注意事项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（四）避孕药的作用和用途</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理论讲授、多媒体演示、讨论</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5842" w:type="dxa"/>
            <w:gridSpan w:val="2"/>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实践16.激素类药物应用护理的相关要求</w:t>
            </w:r>
          </w:p>
        </w:tc>
        <w:tc>
          <w:tcPr>
            <w:tcW w:w="12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54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多媒体演示、案例分析</w:t>
            </w:r>
          </w:p>
        </w:tc>
        <w:tc>
          <w:tcPr>
            <w:tcW w:w="56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2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bl>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45" w:name="_Toc7753"/>
      <w:r>
        <w:rPr>
          <w:rFonts w:hint="eastAsia" w:ascii="宋体" w:hAnsi="宋体" w:eastAsia="宋体" w:cs="宋体"/>
          <w:sz w:val="24"/>
          <w:szCs w:val="24"/>
          <w:lang w:eastAsia="zh-CN"/>
        </w:rPr>
        <w:t>四、实施建议</w:t>
      </w:r>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1．课堂理论教学应注重联系实际、积极采用现代化教学手段，加强直观教学。多组织学生开展必要的讨论，以启迪学生的科学思维，加深对教学内容的理解和掌握。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2．实践教学应充分调动学生学习的积极性，充分发挥学生的能动性，强化学生的动手能力和专业技能训练，注重培养学生解决临床实际药物应用问题的能力。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3．学生的知识水平和能力水平，应通过平时测量提问、实践考核和考试等多种形式综合考评。应不断更新观念，探索新的考核标准和方法，注重学生应用新知识的能力、学习能力、动手能力的考核。</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46" w:name="_Toc5616"/>
      <w:r>
        <w:rPr>
          <w:rFonts w:hint="eastAsia" w:ascii="宋体" w:hAnsi="宋体" w:eastAsia="宋体" w:cs="宋体"/>
          <w:sz w:val="24"/>
          <w:szCs w:val="24"/>
          <w:lang w:eastAsia="zh-CN"/>
        </w:rPr>
        <w:t>五、教学要求</w:t>
      </w:r>
      <w:bookmarkEnd w:id="46"/>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（一）教材编写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1．必须依据本课程标准编写教材。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教材编写本着“以服务为宗旨，以岗位需求为导向”的卫生职业教育办学方针，坚持以就业为导向，以能力为本位的指导思想，注重“三基”，即基础理论、基本知识、基本技能；保证“五性”，即先进性、思想性、科学性、启发性和适应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材除绪论外，由药物应用护理理论、抗微生物药、抗肿瘤药、神经系统药、麻醉药、抗组胺药、消化系统药、呼吸系统药、利尿药、脱水药、心血管系统药、激素类药物共十三章组成。教材特点：（1）突出三贴近：贴近社会、贴近岗位、贴近学生。强调职业需要，以够用为原则，删减高深繁琐的内容；（2）每章前的科普化导言，引导学习目标；适应中职学生年龄特点，培养学生学习兴趣和能力；（3）趣味性的学科知识点和临床案列穿插在正文中，更能激发学生的求知欲望和科学进取精神；（4）思考题具有很强的启发性，紧扣职业证书、职业教育考试，供学生参考应用。</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基本教学范式为：“第一环节：能力发展动员；第二环节：已有能力诊断；第三环节：能力发展教学；第四环节：能力发展鉴定；第五环节：能力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其中，“能力发展教学”环节又分四步进行，即即采取小组教学的方式和“任务、行动、展示和评价”的程序与方法，让学生掌握能力发展所必须的知识、技能和态度。这是本教学模式的核心环节。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三个基本特征是：教学形式的分组教学（不排除一定的大课教学）；教学时间的教少学多（一般是教的时间不多于三分之一，学的时间不少于三分之二，也不排除例外的情况）；教学运行的前诊（断）后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“五环四步三特征”能力本位职业教育课堂教学模式所指的课堂，从场地上讲，可以是传统教室课堂，也可以是校内实训基地课堂，还可以是校外职场课堂。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本专业推广应用“五环四步”教学模式，实施模拟、模块化教学。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（三）教学条件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专业教师应定期深入护理工作一线，提高自己的技术水平和实践能力。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专业课教师中，应有1或2名学科带头人。学科带头人应具备本科及以上学历、具备高级职称任职资格，在当地护理行业具有较高的知名度与影响力，教学研究和科研能力素质优秀，具有丰富的专业理论与实践教学经历，在学校护理专业的建设与发展中发挥着良好的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建立稳定的行业专家兼职教师队伍，兼职教师应具备本科及以上学历，具有中级以上技术支撑和丰富的临床工作经验，具有良好的职业道德素养。对护理专业教学与人才培养目标有清晰的研究和认识，在学校教学及对专任教师的指导等专业建设与发展中起到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专任教师应具有相关专业本科及以上学历，并具有中等职业学校教师资格证书、相关执业资格证书。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（四）教学评价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1.学校评价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(1)学生学业评价采取过程性评价与目标考核相结合，评价中注重过程性、激励性和发展性。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(2)素质评价主要由班主任、学生处、保卫科、团委组成，对学生的纪律、文明素养、参加社团活动、健康状况等进行综合评价。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2.行业评价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行业评价以技能等级鉴定为主线，将这条主线贯穿于专业理论和技能教学的全过程，鉴定标准为国家标准获行业标准。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企业评价包含以下几方面：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(1)企业专家到校上课，对学生的知识和技能掌握情况进行评价。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(2)企业师傅对学生到企业学习的评价。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(3)企业师傅对学生到企业顶岗实习的评价。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以上评价模式均以学分制为实施工具进行具体操作。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（五）教学资源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1.药物   2.耗材   3.电子教案   4.PPT</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47" w:name="_Toc30340"/>
      <w:r>
        <w:rPr>
          <w:rFonts w:hint="eastAsia" w:ascii="宋体" w:hAnsi="宋体" w:eastAsia="宋体" w:cs="宋体"/>
          <w:b/>
          <w:bCs/>
          <w:sz w:val="24"/>
          <w:szCs w:val="24"/>
          <w:lang w:eastAsia="zh-CN"/>
        </w:rPr>
        <w:t>十六、《护理学基础》教学标准</w:t>
      </w:r>
      <w:bookmarkEnd w:id="47"/>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课程名称：护理学基础</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课程编号：10080115</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适用专业：临床护理专业</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课程类别：专业核心课</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教学时数：144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bookmarkStart w:id="48" w:name="_Toc31135"/>
      <w:r>
        <w:rPr>
          <w:rFonts w:hint="eastAsia" w:ascii="宋体" w:hAnsi="宋体" w:eastAsia="宋体" w:cs="宋体"/>
          <w:sz w:val="24"/>
          <w:szCs w:val="24"/>
          <w:lang w:eastAsia="zh-CN"/>
        </w:rPr>
        <w:t>一、前言</w:t>
      </w:r>
      <w:bookmarkEnd w:id="4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护理学是一门以自然科学与社会科学为理论基础，研究有关预防保健，治疗疾病，恢复健康的过程中的护理理论，知识、技术及其发展规律的综合性应用科学。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bookmarkStart w:id="49" w:name="_Toc20342"/>
      <w:r>
        <w:rPr>
          <w:rFonts w:hint="eastAsia" w:ascii="宋体" w:hAnsi="宋体" w:eastAsia="宋体" w:cs="宋体"/>
          <w:sz w:val="24"/>
          <w:szCs w:val="24"/>
          <w:lang w:eastAsia="zh-CN"/>
        </w:rPr>
        <w:t>二、课程目标</w:t>
      </w:r>
      <w:bookmarkEnd w:id="4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了解：护理学的形成及未来的发展趋势、护理理论、护理技术的基本操作。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熟悉：护理的基本概念、初步掌握护理的基本理论、护理专业的相关法律法规、护理的基础操作技能、。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掌握：护士素质与行为规范的基本要求，掌握护理基本知识、初步护理工作的职业能力、熟练基础的护理操作技能、具有严格的无菌技术观念、与病人沟通的技巧、应用护理程序理论指导实践。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（二）技能目标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掌握护士素质与行为规范的基本要求，基本知识，初步护理工作，具有严格的无菌技术操作观念，具有规范，熟练的基础护理操作技能，具有分析和解决临床常见的护理问题的专业技能，良好的人际沟通能力，良好的护士素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（三）态度目标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1．培养学生良好的职业道德修养、人际沟通能力和团结协作精神；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2．培养学生严谨求学的学习态度、科学的思维能力和创新精神。</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50" w:name="_Toc1895"/>
      <w:r>
        <w:rPr>
          <w:rFonts w:hint="eastAsia" w:ascii="宋体" w:hAnsi="宋体" w:eastAsia="宋体" w:cs="宋体"/>
          <w:sz w:val="24"/>
          <w:szCs w:val="24"/>
          <w:lang w:eastAsia="zh-CN"/>
        </w:rPr>
        <w:t>三、课程内容与要求</w:t>
      </w:r>
      <w:bookmarkEnd w:id="50"/>
    </w:p>
    <w:tbl>
      <w:tblPr>
        <w:tblStyle w:val="8"/>
        <w:tblW w:w="9189" w:type="dxa"/>
        <w:tblInd w:w="0" w:type="dxa"/>
        <w:tblLayout w:type="fixed"/>
        <w:tblCellMar>
          <w:top w:w="0" w:type="dxa"/>
          <w:left w:w="108" w:type="dxa"/>
          <w:bottom w:w="0" w:type="dxa"/>
          <w:right w:w="108" w:type="dxa"/>
        </w:tblCellMar>
      </w:tblPr>
      <w:tblGrid>
        <w:gridCol w:w="750"/>
        <w:gridCol w:w="3795"/>
        <w:gridCol w:w="1395"/>
        <w:gridCol w:w="1690"/>
        <w:gridCol w:w="851"/>
        <w:gridCol w:w="708"/>
      </w:tblGrid>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单元</w:t>
            </w:r>
          </w:p>
        </w:tc>
        <w:tc>
          <w:tcPr>
            <w:tcW w:w="3795" w:type="dxa"/>
            <w:vMerge w:val="restart"/>
            <w:tcBorders>
              <w:top w:val="single" w:color="000000" w:sz="6" w:space="0"/>
              <w:left w:val="single" w:color="000000" w:sz="6" w:space="0"/>
              <w:right w:val="single" w:color="000000" w:sz="6" w:space="0"/>
            </w:tcBorders>
            <w:shd w:val="clear" w:color="auto"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教学内容</w:t>
            </w:r>
          </w:p>
        </w:tc>
        <w:tc>
          <w:tcPr>
            <w:tcW w:w="1395" w:type="dxa"/>
            <w:vMerge w:val="restart"/>
            <w:tcBorders>
              <w:top w:val="single" w:color="000000" w:sz="6" w:space="0"/>
              <w:left w:val="single" w:color="000000" w:sz="6" w:space="0"/>
              <w:right w:val="single" w:color="000000" w:sz="6" w:space="0"/>
            </w:tcBorders>
            <w:shd w:val="clear" w:color="auto"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教学要求</w:t>
            </w:r>
          </w:p>
        </w:tc>
        <w:tc>
          <w:tcPr>
            <w:tcW w:w="1690" w:type="dxa"/>
            <w:vMerge w:val="restart"/>
            <w:tcBorders>
              <w:top w:val="single" w:color="000000" w:sz="6" w:space="0"/>
              <w:left w:val="single" w:color="000000" w:sz="6" w:space="0"/>
              <w:right w:val="single" w:color="000000" w:sz="6" w:space="0"/>
            </w:tcBorders>
            <w:shd w:val="clear" w:color="auto" w:fill="FFFFFF"/>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教学活动</w:t>
            </w:r>
          </w:p>
        </w:tc>
        <w:tc>
          <w:tcPr>
            <w:tcW w:w="1559"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学时</w:t>
            </w: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395"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69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w:t>
            </w:r>
          </w:p>
        </w:tc>
      </w:tr>
      <w:tr>
        <w:tblPrEx>
          <w:tblLayout w:type="fixed"/>
          <w:tblCellMar>
            <w:top w:w="0" w:type="dxa"/>
            <w:left w:w="108" w:type="dxa"/>
            <w:bottom w:w="0" w:type="dxa"/>
            <w:right w:w="108"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一、绪论</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（一）护理学的发展史</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1.护理学的形成与发展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2.中国护理学发展历程</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3.中国护理的发展趋势</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（二）护理学的任务，范畴及工作方式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1.护理学任务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2.护理学的范畴</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3.护理工作方式</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多媒体演示讨论</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二、护士素质与角色</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（一）护士的素质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1.素质的概念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2.护士素质的内容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（二）护士的角色</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1.角色的概念</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2.护士角色的功能,</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三、护理学的基本概念</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（一）关于人的概念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1.人是统一的整体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2.人的基本需求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3.人的成长与发展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（二）、关于健康的概念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1.健康的概念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2.疾病的概念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3.健康与疾病的关系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（三）关于环境的概念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1.人的内环境</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2.人的外环境</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3.健康与环境的关系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（四）关于护理的概念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2.护理的内涵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3.护理与健康的关系</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c>
          <w:tcPr>
            <w:tcW w:w="75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四、护理相关理论</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（一）系统理论</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1.系统的概念与分类</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2.系统的基本属性</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3.,系统理论在护理中的应用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（二）需要层次理论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1.需要的概述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2.需要层次理论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3.需要层次理论与护理关系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（三）压力与适应理论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1.压力的概述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2.压力的应对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3.适应的概述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4.压力的适应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5.压力与适应理论在护理中的应用</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trHeight w:val="3105" w:hRule="atLeast"/>
        </w:trPr>
        <w:tc>
          <w:tcPr>
            <w:tcW w:w="750"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五、护理程序</w:t>
            </w:r>
          </w:p>
        </w:tc>
        <w:tc>
          <w:tcPr>
            <w:tcW w:w="3795"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（一）护理程序的概述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1.护理程序的概念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2.护理程序的发展背景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3.护理程序的意义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（二）护理程序的步骤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3.护理计划</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4.实施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实践1.病例分析</w:t>
            </w:r>
          </w:p>
        </w:tc>
        <w:tc>
          <w:tcPr>
            <w:tcW w:w="1395"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851"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trHeight w:val="2585" w:hRule="atLeast"/>
        </w:trPr>
        <w:tc>
          <w:tcPr>
            <w:tcW w:w="750"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六、护理安全与防护</w:t>
            </w:r>
          </w:p>
        </w:tc>
        <w:tc>
          <w:tcPr>
            <w:tcW w:w="3795"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（一）护理安全防范</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2.护理安全的影响因素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3.护理安全的防范原则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（二）护理职业防护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2.职业损伤危险因素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3.常见护理职业损伤的防护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实践案例分析</w:t>
            </w:r>
          </w:p>
        </w:tc>
        <w:tc>
          <w:tcPr>
            <w:tcW w:w="1395"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851" w:type="dxa"/>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七、医院与住院环境</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（一）医院</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1医院的性质和任务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2医院的种类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3医院的组织结构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（二）门诊部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1.门诊</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2.急诊</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（三）病区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1.病区的设置于布局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2.病区的环境管理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3.病区床单位及设备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4.铺床法</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情景教学示教见习</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实践3参观医院</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实践4.铺备用床</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实践5.铺暂空床</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实践6.铺麻醉床</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八、病人入院和出院的护理</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（一）入院的护理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1.入院程序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2.入病区后的初步护理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（二）出院护理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1.出院前护理工作</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2.出院后护理工作</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（三）运送病人的护理技术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1.轮椅运送病人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2.平车运送病人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3.担架运送病人</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熟悉 </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实践1.轮椅运送病人技术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实践2.平车运送病人技术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实践3.担架运送病人技术</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九、病人卧位与安全的护理</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（一）临床常用卧位</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1.卧位的概念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2.卧位的种类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（二）协助病人更换卧位</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1.协助病人翻身侧卧法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2.协助病人移向床头法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（三）保护具的应用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1.保护具的种类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2.保护具的应用</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实践10.安置各种卧位</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实践11.协助病人更换卧位</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实践12.保护具的使用技术</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十、医院感染的预防制</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（一）医院感染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1.医院感染的形成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2.医院感染的主要因素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3.预防和控制医院感染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（二）（清洁，消毒，灭菌、）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1.清洁技术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2.物理消毒灭菌技术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3.化学消毒灭菌技术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（三）无菌技术</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1.概念</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2.无菌技术的操作原则</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3.无菌技术基本操作</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（四）隔离技术</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1.隔离的基本知识</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2.隔离的原则</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3.隔离的种类</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4.常用的隔离技术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（五）供应室</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1.供应室的设置于布局</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2.供应室的工作类容、</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3.常用的物品保养</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实践13.物理学消毒灭菌技术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实践14.化学消毒灭菌技术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实践15.无菌技术基本操作</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实践16.隔离技术基本操作</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r>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十一、病人的清洁护理</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（一）口腔护理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1.口腔护理评估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2.口腔护理技术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3.口腔健康维护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（二）头发护理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1.头发护理评估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2.头发护理技术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3.头发健康与保养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（三）皮肤护理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1.皮肤状况评估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2.皮肤护理技术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3.压疮的预防和护理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（四）晨晚间护理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1.晨间护理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2.晚间护理</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实践17.口腔护理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实践18.床上洗发</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实践19.床上擦浴</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实践20、卧位病人床上更换床单法</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十二、生命体征的评估和护理</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tabs>
                <w:tab w:val="left" w:pos="114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（一）体温的评估及护理</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1.正常体温及生理性变化</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2.异常体温的变化及护理</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3.体温测量技术</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（二）脉搏的评估及护理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1.正常脉搏及生理变化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2.异常脉搏的评估及护理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3.脉搏的测量技术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（三）呼吸的评估及护理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1.正常呼吸生理性变化及护理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2.异常呼吸的评估及护理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3.呼吸的测量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（四）血压的评估及护理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1.正常血压的生理变化及护理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2.一些血压的生理变化及护理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3.血压的测量技术</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21.血压测量技术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22.体温单的绘制与填写</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十三、营养与饮食</w:t>
            </w:r>
          </w:p>
        </w:tc>
        <w:tc>
          <w:tcPr>
            <w:tcW w:w="3795" w:type="dxa"/>
            <w:vMerge w:val="restart"/>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tabs>
                <w:tab w:val="left" w:pos="72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（一）医院的饮食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1.基本意思</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2.治疗饮食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3.实验饮食</w:t>
            </w:r>
          </w:p>
          <w:p>
            <w:pPr>
              <w:keepNext w:val="0"/>
              <w:keepLines w:val="0"/>
              <w:pageBreakBefore w:val="0"/>
              <w:tabs>
                <w:tab w:val="left" w:pos="72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（一）一般饮食的护理</w:t>
            </w:r>
          </w:p>
          <w:p>
            <w:pPr>
              <w:keepNext w:val="0"/>
              <w:keepLines w:val="0"/>
              <w:pageBreakBefore w:val="0"/>
              <w:tabs>
                <w:tab w:val="left" w:pos="780"/>
              </w:tabs>
              <w:kinsoku/>
              <w:wordWrap/>
              <w:overflowPunct/>
              <w:topLinePunct w:val="0"/>
              <w:bidi w:val="0"/>
              <w:spacing w:line="360" w:lineRule="auto"/>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1.影响饮食与营养的因素</w:t>
            </w:r>
          </w:p>
          <w:p>
            <w:pPr>
              <w:keepNext w:val="0"/>
              <w:keepLines w:val="0"/>
              <w:pageBreakBefore w:val="0"/>
              <w:tabs>
                <w:tab w:val="left" w:pos="780"/>
              </w:tabs>
              <w:kinsoku/>
              <w:wordWrap/>
              <w:overflowPunct/>
              <w:topLinePunct w:val="0"/>
              <w:bidi w:val="0"/>
              <w:spacing w:line="360" w:lineRule="auto"/>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2.病人的一般因素护理</w:t>
            </w:r>
          </w:p>
          <w:p>
            <w:pPr>
              <w:keepNext w:val="0"/>
              <w:keepLines w:val="0"/>
              <w:pageBreakBefore w:val="0"/>
              <w:tabs>
                <w:tab w:val="left" w:pos="72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（二）特殊因素的护理</w:t>
            </w:r>
          </w:p>
          <w:p>
            <w:pPr>
              <w:keepNext w:val="0"/>
              <w:keepLines w:val="0"/>
              <w:pageBreakBefore w:val="0"/>
              <w:tabs>
                <w:tab w:val="left" w:pos="780"/>
              </w:tabs>
              <w:kinsoku/>
              <w:wordWrap/>
              <w:overflowPunct/>
              <w:topLinePunct w:val="0"/>
              <w:bidi w:val="0"/>
              <w:spacing w:line="360" w:lineRule="auto"/>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1.鼻饲法</w:t>
            </w:r>
          </w:p>
          <w:p>
            <w:pPr>
              <w:keepNext w:val="0"/>
              <w:keepLines w:val="0"/>
              <w:pageBreakBefore w:val="0"/>
              <w:tabs>
                <w:tab w:val="left" w:pos="780"/>
              </w:tabs>
              <w:kinsoku/>
              <w:wordWrap/>
              <w:overflowPunct/>
              <w:topLinePunct w:val="0"/>
              <w:bidi w:val="0"/>
              <w:spacing w:line="360" w:lineRule="auto"/>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2.要素要素</w:t>
            </w:r>
          </w:p>
          <w:p>
            <w:pPr>
              <w:keepNext w:val="0"/>
              <w:keepLines w:val="0"/>
              <w:pageBreakBefore w:val="0"/>
              <w:tabs>
                <w:tab w:val="left" w:pos="72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（三）出入液量的记录</w:t>
            </w:r>
          </w:p>
          <w:p>
            <w:pPr>
              <w:keepNext w:val="0"/>
              <w:keepLines w:val="0"/>
              <w:pageBreakBefore w:val="0"/>
              <w:tabs>
                <w:tab w:val="left" w:pos="780"/>
              </w:tabs>
              <w:kinsoku/>
              <w:wordWrap/>
              <w:overflowPunct/>
              <w:topLinePunct w:val="0"/>
              <w:bidi w:val="0"/>
              <w:spacing w:line="360" w:lineRule="auto"/>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1.记录内容与要求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2.记录方法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实践23.鼻饲法</w:t>
            </w:r>
          </w:p>
        </w:tc>
        <w:tc>
          <w:tcPr>
            <w:tcW w:w="1395" w:type="dxa"/>
            <w:vMerge w:val="restart"/>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690" w:type="dxa"/>
            <w:vMerge w:val="restart"/>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Height w:val="3498" w:hRule="atLeast"/>
        </w:trPr>
        <w:tc>
          <w:tcPr>
            <w:tcW w:w="750" w:type="dxa"/>
            <w:vMerge w:val="continue"/>
            <w:tcBorders>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vMerge w:val="continue"/>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395" w:type="dxa"/>
            <w:vMerge w:val="continue"/>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690" w:type="dxa"/>
            <w:vMerge w:val="continue"/>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1"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Height w:val="479" w:hRule="atLeast"/>
        </w:trPr>
        <w:tc>
          <w:tcPr>
            <w:tcW w:w="750" w:type="dxa"/>
            <w:vMerge w:val="continue"/>
            <w:tcBorders>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实践23.鼻饲法</w:t>
            </w:r>
          </w:p>
        </w:tc>
        <w:tc>
          <w:tcPr>
            <w:tcW w:w="1395"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690"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cantSplit/>
        </w:trPr>
        <w:tc>
          <w:tcPr>
            <w:tcW w:w="750" w:type="dxa"/>
            <w:vMerge w:val="restart"/>
            <w:tcBorders>
              <w:top w:val="single" w:color="auto" w:sz="4"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十四、排泄护理</w:t>
            </w:r>
          </w:p>
        </w:tc>
        <w:tc>
          <w:tcPr>
            <w:tcW w:w="3795"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tabs>
                <w:tab w:val="left" w:pos="72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（一）排尿护理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1.尿液的观察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2.影响排尿的因素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3.排尿异常的护理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4.导尿术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（二）排便护理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1.粪便的观察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2.影响排便的因素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3.排便异常的的护理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4.灌肠术</w:t>
            </w:r>
          </w:p>
        </w:tc>
        <w:tc>
          <w:tcPr>
            <w:tcW w:w="1395"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690"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实践4.女病人导尿术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实践25.男病人导尿术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实践26导尿管留置法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实践27.大量不保留灌肠术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实践28小量不保留灌肠术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实践29.保留灌肠法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实践30、肛管排气法</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r>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十五、药物疗法</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（一）给药的基本知识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2.安全的给药原则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3.影响给药作用的因素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（二）口服给药法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1.安全给药的原则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2.口服给药技术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（三）吸入给药法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1.氧气雾化吸入</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2.手压式雾化吸入</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3.超声波五吸入</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（四）注射给药法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1.注射的原则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2.注射用物</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3.药液抽吸技术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4.常用的注射技术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（五）药物过敏实验法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1.药物过敏的反应的特点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2.常用药物过敏实验的技术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（六）局部给药法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1.滴药技术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2.插入治疗技术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3.皮肤给药法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4.舌下给药法</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实践31.口服给药技术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实践32.吸入给药技术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实践33.药物抽吸法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实践34.皮内注射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实践35.皮下注射法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实践36.肌内注射法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实践37.静脉注射法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实践38.各种皮试液的配置</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Layout w:type="fixed"/>
          <w:tblCellMar>
            <w:top w:w="0" w:type="dxa"/>
            <w:left w:w="108" w:type="dxa"/>
            <w:bottom w:w="0" w:type="dxa"/>
            <w:right w:w="108" w:type="dxa"/>
          </w:tblCellMar>
        </w:tblPrEx>
        <w:trPr>
          <w:cantSplit/>
        </w:trPr>
        <w:tc>
          <w:tcPr>
            <w:tcW w:w="750" w:type="dxa"/>
            <w:vMerge w:val="restart"/>
            <w:tcBorders>
              <w:top w:val="single" w:color="000000" w:sz="6"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十六、静脉输液和输血法</w:t>
            </w: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（一）静脉输液法</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1.静脉输液的目的</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2.常用药业及作用</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3.静脉输液技术</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1.输液故障的排除技术</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2.输液反应及护理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（二）静脉输血法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1.静脉输血目的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2.血液制品的种类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3/静脉输血技术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4.输血反应及护理</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实践39.静脉输液技术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实践40、静脉输血技术</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3105" w:hRule="atLeast"/>
        </w:trPr>
        <w:tc>
          <w:tcPr>
            <w:tcW w:w="750"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十七、冷热疗法技术</w:t>
            </w:r>
          </w:p>
        </w:tc>
        <w:tc>
          <w:tcPr>
            <w:tcW w:w="3795"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（一）冷疗的技术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1.冷疗的作用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2.影响冷疗的因素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3.冷疗法禁忌证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4.冷疗技术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（二）热疗技术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1.热疗的作用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2.影响热疗的因素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3.热疗禁忌证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4.热疗技术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实践41.冷热疗法技术</w:t>
            </w:r>
          </w:p>
        </w:tc>
        <w:tc>
          <w:tcPr>
            <w:tcW w:w="1395"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690"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8"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Layout w:type="fixed"/>
          <w:tblCellMar>
            <w:top w:w="0" w:type="dxa"/>
            <w:left w:w="108" w:type="dxa"/>
            <w:bottom w:w="0" w:type="dxa"/>
            <w:right w:w="108" w:type="dxa"/>
          </w:tblCellMar>
        </w:tblPrEx>
        <w:trPr>
          <w:trHeight w:val="1025" w:hRule="atLeast"/>
        </w:trPr>
        <w:tc>
          <w:tcPr>
            <w:tcW w:w="750"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十八标本采集</w:t>
            </w:r>
          </w:p>
        </w:tc>
        <w:tc>
          <w:tcPr>
            <w:tcW w:w="3795"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tabs>
                <w:tab w:val="left" w:pos="114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（一）标本采集的意义和原则</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1.标本采集的意义</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2.标本采集的原则</w:t>
            </w:r>
          </w:p>
          <w:p>
            <w:pPr>
              <w:keepNext w:val="0"/>
              <w:keepLines w:val="0"/>
              <w:pageBreakBefore w:val="0"/>
              <w:tabs>
                <w:tab w:val="left" w:pos="114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（二）各种标本采集技术</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1.痰标本采集技术</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2.咽试子标本采集技术</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3.呕吐物标本采集技术</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4.学标本采集技术</w:t>
            </w:r>
          </w:p>
          <w:p>
            <w:pPr>
              <w:keepNext w:val="0"/>
              <w:keepLines w:val="0"/>
              <w:pageBreakBefore w:val="0"/>
              <w:tabs>
                <w:tab w:val="left" w:pos="78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5.尿液标本采集技术</w:t>
            </w:r>
          </w:p>
          <w:p>
            <w:pPr>
              <w:keepNext w:val="0"/>
              <w:keepLines w:val="0"/>
              <w:pageBreakBefore w:val="0"/>
              <w:widowControl w:val="0"/>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6.粪标本采集技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实践42.各种标本采集技术</w:t>
            </w:r>
          </w:p>
        </w:tc>
        <w:tc>
          <w:tcPr>
            <w:tcW w:w="1395"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8"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Height w:val="2640" w:hRule="atLeast"/>
        </w:trPr>
        <w:tc>
          <w:tcPr>
            <w:tcW w:w="750" w:type="dxa"/>
            <w:vMerge w:val="restart"/>
            <w:tcBorders>
              <w:top w:val="single" w:color="auto" w:sz="4" w:space="0"/>
              <w:left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十九、危重病人的护理及抢救</w:t>
            </w:r>
          </w:p>
        </w:tc>
        <w:tc>
          <w:tcPr>
            <w:tcW w:w="3795"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tabs>
                <w:tab w:val="left" w:pos="72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（一）危重病人的支持护理</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1.危重病人的病情评估</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2.危重病人支持性护理</w:t>
            </w:r>
          </w:p>
          <w:p>
            <w:pPr>
              <w:keepNext w:val="0"/>
              <w:keepLines w:val="0"/>
              <w:pageBreakBefore w:val="0"/>
              <w:tabs>
                <w:tab w:val="left" w:pos="72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（二）危重病人的抢救技术</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1.抢救工作管理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2.常用抢救技术</w:t>
            </w:r>
          </w:p>
        </w:tc>
        <w:tc>
          <w:tcPr>
            <w:tcW w:w="1395"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690"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1" w:type="dxa"/>
            <w:tcBorders>
              <w:top w:val="single" w:color="auto" w:sz="4"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cantSplit/>
        </w:trPr>
        <w:tc>
          <w:tcPr>
            <w:tcW w:w="750" w:type="dxa"/>
            <w:vMerge w:val="continue"/>
            <w:tcBorders>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7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43.洗胃法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44.吸痰法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45.氧气吸入法</w:t>
            </w:r>
          </w:p>
        </w:tc>
        <w:tc>
          <w:tcPr>
            <w:tcW w:w="1395"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Layout w:type="fixed"/>
          <w:tblCellMar>
            <w:top w:w="0" w:type="dxa"/>
            <w:left w:w="108" w:type="dxa"/>
            <w:bottom w:w="0" w:type="dxa"/>
            <w:right w:w="108" w:type="dxa"/>
          </w:tblCellMar>
        </w:tblPrEx>
        <w:trPr>
          <w:trHeight w:val="1327" w:hRule="atLeast"/>
        </w:trPr>
        <w:tc>
          <w:tcPr>
            <w:tcW w:w="750"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二十、临终护理</w:t>
            </w:r>
          </w:p>
        </w:tc>
        <w:tc>
          <w:tcPr>
            <w:tcW w:w="3795"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widowControl w:val="0"/>
              <w:tabs>
                <w:tab w:val="left" w:pos="360"/>
              </w:tabs>
              <w:kinsoku/>
              <w:wordWrap/>
              <w:overflowPunct/>
              <w:topLinePunct w:val="0"/>
              <w:autoSpaceDE w:val="0"/>
              <w:autoSpaceDN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（一）临终关怀</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1.临终关怀的概念</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2.临终关怀的内容</w:t>
            </w:r>
          </w:p>
          <w:p>
            <w:pPr>
              <w:keepNext w:val="0"/>
              <w:keepLines w:val="0"/>
              <w:pageBreakBefore w:val="0"/>
              <w:tabs>
                <w:tab w:val="left" w:pos="360"/>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3.临终关怀的基本原则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（二）临终病人的身心护理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1.临终护理的概述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2.临终病人的生理变化及护理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3.临终病人的心里变化及护理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临终病人家属的安抚与护理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（三）死亡后的护理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1.频四和死亡的概念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2.死亡的标准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3.死亡过程的分期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4.尸体的护理丧亲者的护理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实践46.尸体护理技术</w:t>
            </w:r>
          </w:p>
        </w:tc>
        <w:tc>
          <w:tcPr>
            <w:tcW w:w="1395"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8"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Layout w:type="fixed"/>
          <w:tblCellMar>
            <w:top w:w="0" w:type="dxa"/>
            <w:left w:w="108" w:type="dxa"/>
            <w:bottom w:w="0" w:type="dxa"/>
            <w:right w:w="108" w:type="dxa"/>
          </w:tblCellMar>
        </w:tblPrEx>
        <w:trPr>
          <w:trHeight w:val="2080" w:hRule="atLeast"/>
        </w:trPr>
        <w:tc>
          <w:tcPr>
            <w:tcW w:w="750"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二十一、护理相关文件记录</w:t>
            </w:r>
          </w:p>
        </w:tc>
        <w:tc>
          <w:tcPr>
            <w:tcW w:w="3795"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（一）病案管理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1.记录的意义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2.记录的原则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3.管理的要求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4.病例排列顺序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（二）护理体温相关文件的书写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1.体温单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2.医嘱单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3.护理记录单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4.病室报告</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5.护理病历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实践47护理相关文件的书写方法</w:t>
            </w:r>
          </w:p>
        </w:tc>
        <w:tc>
          <w:tcPr>
            <w:tcW w:w="1395"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690"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1" w:type="dxa"/>
            <w:tcBorders>
              <w:top w:val="single" w:color="auto" w:sz="4"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8" w:type="dxa"/>
            <w:tcBorders>
              <w:top w:val="single" w:color="000000" w:sz="6" w:space="0"/>
              <w:left w:val="single" w:color="000000" w:sz="6" w:space="0"/>
              <w:bottom w:val="single" w:color="auto" w:sz="4" w:space="0"/>
              <w:right w:val="single" w:color="000000" w:sz="6" w:space="0"/>
            </w:tcBorders>
            <w:shd w:val="clear" w:color="auto" w:fill="FFFFFF"/>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bl>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51" w:name="_Toc28262"/>
      <w:r>
        <w:rPr>
          <w:rFonts w:hint="eastAsia" w:ascii="宋体" w:hAnsi="宋体" w:eastAsia="宋体" w:cs="宋体"/>
          <w:sz w:val="24"/>
          <w:szCs w:val="24"/>
          <w:lang w:eastAsia="zh-CN"/>
        </w:rPr>
        <w:t>四、实施建议</w:t>
      </w:r>
      <w:bookmarkEnd w:id="5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在教学过程中积极采用现代化教学手段，加强直观教学，充分发挥教师的主导作用和学生的主体作用。理论教学注重联系实际，组织学生开展必要的讨论，以培养学生的学习能力和分析问题能力，使学生加深对教学内容的理解和掌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2．实践教学充分利用教学资源，结合标本、模型、电教、多媒体等，采用讲授、演示、观察、讨论等教学形式，调动学生学习的积极性，发挥学生的主观能动性，强化学生的动手能力和专业技能训练。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3．教学评价应通过课堂提问、单元测试、实验考核、期末考试等多种形式综合考评，注重对学生学习能力、动手能力、应用新知识能力的考核。</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52" w:name="_Toc7013"/>
      <w:r>
        <w:rPr>
          <w:rFonts w:hint="eastAsia" w:ascii="宋体" w:hAnsi="宋体" w:eastAsia="宋体" w:cs="宋体"/>
          <w:sz w:val="24"/>
          <w:szCs w:val="24"/>
          <w:lang w:eastAsia="zh-CN"/>
        </w:rPr>
        <w:t>五、教学要求</w:t>
      </w:r>
      <w:bookmarkEnd w:id="5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（一）教材编写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1．必须依据本课程标准编写教材。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教材编写本着“以服务为宗旨，以岗位需求为导向”的卫生职业教育办学方针，坚持以就业为导向，以能力为本位的指导思想，注重“三基”，即基础理论、基本知识、基本技能；保证“五性”，即先进性、思想性、科学性、启发性和适应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材除绪论外，由护士素质、护理的基本概念、护理相关理论、护理程序、护理安全与防护、医院与住院环境、病人入院和出院的护理、病人卧位与安全的护理、医院感染的预防与控制、病人的清洁护理、生命体征的评估及护理、饮食与营养、排泄护理、药物疗法、静脉输液与输血法、冷热疗技术、标本的采集、危重病人的护理及抢救技术、临终护理、护理相关文件记录。教材特点：（1）突出三贴近：贴近社会、贴近岗位、贴近学生。强调职业需要，以够用为原则，删减高深繁琐的内容；（2）每章前的科普化导言，引导学习目标；适应中职学生年龄特点，培养学生学习兴趣和能力；（3）趣味性的学科知识点和临床案列穿插在正文中，更能激发学生的求知欲望和科学进取精神；（4）思考题具有很强的启发性，紧扣职业证书、职业教育考试，供学生参考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基本教学范式为：“第一环节：能力发展动员；第二环节：已有能力诊断；第三环节：能力发展教学；第四环节：能力发展鉴定；第五环节：能力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其中，“能力发展教学”环节又分四步进行，即即采取小组教学的方式和“任务、行动、展示和评价”的程序与方法，让学生掌握能力发展所必须的知识、技能和态度。这是本教学模式的核心环节。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三个基本特征是：教学形式的分组教学（不排除一定的大课教学）；教学时间的教少学多（一般是教的时间不多于三分之一，学的时间不少于三分之二，也不排除例外的情况）；教学运行的前诊（断）后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“五环四步三特征”能力本位职业教育课堂教学模式所指的课堂，从场地上讲，可以是传统教室课堂，也可以是校内实训基地课堂，还可以是校外职场课堂。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本专业推广应用“五环四步”教学模式，实施模拟、模块化教学。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（三）教学条件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专业教师应定期深入护理工作一线，提高自己的技术水平和实践能力。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专业课教师中，应有1或2名学科带头人。学科带头人应具备本科及以上学历、具备高级职称任职资格，在当地护理行业具有较高的知名度与影响力，教学研究和科研能力素质优秀，具有丰富的专业理论与实践教学经历，在学校护理专业的建设与发展中发挥着良好的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建立稳定的行业专家兼职教师队伍，兼职教师应具备本科及以上学历，具有中级以上技术支撑和丰富的临床工作经验，具有良好的职业道德素养。对护理专业教学与人才培养目标有清晰的研究和认识，在学校教学及对专任教师的指导等专业建设与发展中起到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专任教师应具有相关专业本科及以上学历，并具有中等职业学校教师资格证书、相关执业资格证书。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（四）教学评价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1.学校评价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（1）学生学业评价采取过程性评价与目标考核相结合，评价中注重过程性、激励性和发展性。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（2）素质评价主要由班主任、学生处、保卫科、团委组成，对学生的纪律、文明素养、参加社团活动、健康状况等进行综合评价。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2.行业评价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行业评价以技能等级鉴定为主线，将这条主线贯穿于专业理论和技能教学的全过程，鉴定标准为国家标准获行业标准。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企业评价包含以下几方面：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（1）企业专家到校上课，对学生的知识和技能掌握情况进行评价。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（2）企业师傅对学生到企业学习的评价。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（3）企业师傅对学生到企业顶岗实习的评价。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以上评价模式均以学分制为实施工具进行具体操作。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（五）教学资源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1．标本  2.模型  3.电子教案  4. PPT</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53" w:name="_Toc801"/>
      <w:r>
        <w:rPr>
          <w:rFonts w:hint="eastAsia" w:ascii="宋体" w:hAnsi="宋体" w:eastAsia="宋体" w:cs="宋体"/>
          <w:b/>
          <w:bCs/>
          <w:sz w:val="24"/>
          <w:szCs w:val="24"/>
          <w:lang w:eastAsia="zh-CN"/>
        </w:rPr>
        <w:t>十七、《内科护理》教学标准</w:t>
      </w:r>
      <w:bookmarkEnd w:id="53"/>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课程名称：内科护理</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课程编号：10080117</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适用专业：临床护理专业</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课程类别：专业核心课</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教学时数：126</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54" w:name="_Toc437"/>
      <w:r>
        <w:rPr>
          <w:rFonts w:hint="eastAsia" w:ascii="宋体" w:hAnsi="宋体" w:eastAsia="宋体" w:cs="宋体"/>
          <w:sz w:val="24"/>
          <w:szCs w:val="24"/>
          <w:lang w:eastAsia="zh-CN"/>
        </w:rPr>
        <w:t>一、前言</w:t>
      </w:r>
      <w:bookmarkEnd w:id="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内科护理学科是贯彻职业教育的本质，要求和中等卫生职业教育的培养目标，突出能力和技能，重实用、重实践。教材内容突出体现护理专业特色，力求体现护理职业教育的要求努力，努力与临床护理岗位知识需求结汇、与全国护士执业资格考试大纲要求接轨。同时又增加了一些必要的新知识、新进展和新技术的介绍。</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55" w:name="_Toc7888"/>
      <w:r>
        <w:rPr>
          <w:rFonts w:hint="eastAsia" w:ascii="宋体" w:hAnsi="宋体" w:eastAsia="宋体" w:cs="宋体"/>
          <w:sz w:val="24"/>
          <w:szCs w:val="24"/>
          <w:lang w:eastAsia="zh-CN"/>
        </w:rPr>
        <w:t>二、课程目标</w:t>
      </w:r>
      <w:bookmarkEnd w:id="5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熟悉内科常见急危重症病人的抢救原则，能在教师的指导下，对危急重症病人进行初步应急处理和抢救原则；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熟悉内科常见病病人常见的护理诊断及合作性问题，并了解相应的护理目标及护理评价；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掌握内科常见病人的护理评估及护理措施的主要内容。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（二）技能目标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具有对内科常见病病人实施整体护理的能力；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具有对内科常见病病人的病情变化、心理变化和治疗反应进行观察和初步分析及处理的能力，并能正确书写内科护理记录；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具有配合医生实施内科常用诊疗技术操作的能力；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具有向个体、家庭、社区提供保健服务和开展健康教育的能力。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（三）态度目标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培养学生良好的职业道德修养、人际沟通能力和团结协作精神；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培养学生严谨求学的学习态度、科学的思维能力和创新精神。</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56" w:name="_Toc3695"/>
      <w:r>
        <w:rPr>
          <w:rFonts w:hint="eastAsia" w:ascii="宋体" w:hAnsi="宋体" w:eastAsia="宋体" w:cs="宋体"/>
          <w:sz w:val="24"/>
          <w:szCs w:val="24"/>
          <w:lang w:eastAsia="zh-CN"/>
        </w:rPr>
        <w:t>三、课程内容与要求</w:t>
      </w:r>
      <w:bookmarkEnd w:id="56"/>
    </w:p>
    <w:tbl>
      <w:tblPr>
        <w:tblStyle w:val="8"/>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4032"/>
        <w:gridCol w:w="1134"/>
        <w:gridCol w:w="1417"/>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047"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单元</w:t>
            </w:r>
          </w:p>
        </w:tc>
        <w:tc>
          <w:tcPr>
            <w:tcW w:w="4032"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教学内容</w:t>
            </w:r>
          </w:p>
        </w:tc>
        <w:tc>
          <w:tcPr>
            <w:tcW w:w="1134"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教学要求</w:t>
            </w:r>
          </w:p>
        </w:tc>
        <w:tc>
          <w:tcPr>
            <w:tcW w:w="1417"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教学活动</w:t>
            </w:r>
          </w:p>
        </w:tc>
        <w:tc>
          <w:tcPr>
            <w:tcW w:w="1559" w:type="dxa"/>
            <w:gridSpan w:val="2"/>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trPr>
        <w:tc>
          <w:tcPr>
            <w:tcW w:w="1047"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4032"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134"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417"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0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w:t>
            </w:r>
          </w:p>
        </w:tc>
        <w:tc>
          <w:tcPr>
            <w:tcW w:w="850"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一、绪论</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（一）内科护理的内容及结构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（二）内科护理的学习目的与方法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（三）内科护理的发展趋势</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二、呼吸系统疾病病人的护理</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1.咳嗽与咳痰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2.咯血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3.胸痛</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4.肺源性呼吸困难</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（二）记性上呼吸道感染病人的护理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（三）慢性支气管炎、阻塞性肺气肿、肺源行心脏病病人的护理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（四）支气管哮喘病人的护理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（五）肺炎病人的护理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（六）支气管扩张病人的护理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（七）肺结核病人的护理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（八）原发性支气管肺癌病人护理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（九）胸膜炎及胸腔积液病人的护理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（十）呼吸衰竭病人的护理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实物观察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实践1：支气管扩张和肺结核病人的护理实践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实践2：肺炎和呼吸衰竭病人的护理实践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实践3：呼吸系统常用诊疗技术及护理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1"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三、循环系统疾病病人的护理</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1.心源性呼吸困难</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2.心源性水肿</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3.心悸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4.心前区疼痛</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5.晕厥</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（二）心力衰竭病人的护理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（1）慢性心力衰竭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（2）急性心力衰竭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（三）心律失常病人的护理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（四）心脏瓣膜病病人的合理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（五）原发性高血压病人的护理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（六）冠状动脉粥样硬化性心脏病病人的护理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（1）心绞痛</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（2）心肌梗死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（七）感染性心内膜炎病人的护理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（八）心肌炎病人的护理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（九）心肌病病人的护理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（十）心包炎病人的护理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实践4：心力衰竭和心律失常病人的护理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实践5：原发性高血压和冠心病病人的护理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实践6：循环系统常用诊疗技术及护理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86"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四、消化系统疾病病人的护理</w:t>
            </w:r>
          </w:p>
        </w:tc>
        <w:tc>
          <w:tcPr>
            <w:tcW w:w="4032"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1.恶心与呕吐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2.腹胀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3.腹痛</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4.腹泻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(二）胃炎病人的护理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1.急性胃炎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2.慢性胃炎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（三）消化性溃疡病人的护理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（四）肝硬化病人的护理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（五）原发性肝癌病人的护理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（六）肝性脑病病人的护理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（七）急性胰腺炎病人的护理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（八）上消化道出血病人的护理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134"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实物演示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09"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50"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42"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134"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41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实践7：消化性溃疡和肝硬化病人的护理实践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实践8：消化系统常用诊疗技术及护理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8"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五、泌尿系统疾病病人的护理</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1.肾性水肿</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2.肾性高血压</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3.尿异常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4.膀胱刺激征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（二）尿路感染病人的护理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（三）慢性肾小球肾炎病人的护理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（三）慢性肾小球肾炎病人的护理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（四）肾病综合征病人的护理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（五）急性肾衰竭病人的护理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（六）慢性肾衰竭病人的护理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实物演示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实践9：尿路感染、慢性肾衰竭病人的护理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实践10：透析病人的护理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4"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六、血液系统疾病病人的护理</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1.贫血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2.出血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3.继发感染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（二）缺铁性贫血病人的护理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（三）再生障碍性贫血病人的护理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widowControl w:val="0"/>
              <w:numPr>
                <w:ilvl w:val="0"/>
                <w:numId w:val="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特发性血小板减少性紫癜病人的护理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widowControl w:val="0"/>
              <w:numPr>
                <w:ilvl w:val="0"/>
                <w:numId w:val="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白血病病人的护理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模型、演示观察</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实践11：贫血和急性白血病病人的护理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实践12：血液系统常用诊疗技术及护理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9"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七、内分泌代谢疾病病人的护理</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1.身体外形改变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2.消瘦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3.肥胖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（二）腺垂体功能减退症病人的护理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（三）单纯性甲状腺肿病人的护理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（四）甲状腺功能亢进症病人的护理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（五）皮质醇增多症病人的护理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（六）糖尿病病人的护理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模型、演示观察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实践13：甲亢与糖尿病病人的护理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2"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八、风湿性疾病病人的护理</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1.风湿性疾病的概念及特点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2.风湿性疾病常见症状和体征的护理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（1）关节损害</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（2）皮肤损害</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（二）系统性红斑狼疮病人的护理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（三）内风湿关节炎病人的护理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模型、演示观察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实践14：系统性红斑狼疮病人的护理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九、神经系统疾病病人的护理</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1.神经系统的结构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2.神经系统疾病常见症状及体征的护理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（1）头痛</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（2）感觉障碍</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（3）意识障碍</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（二）急性炎症性脱髓鞘性多发性神经病病人的护理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（三）脑血管疾病病人的护理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1.短暂性脑缺血发作</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2.脑梗死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3.脑出血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4.蛛网膜下腔促学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（四）癫痫病人的护理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模型观察</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实践15：脑血管疾病和癫痫病人的护理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实践16：神经系统常用诊疗技术及护理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十、传染病病人的护理</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1.感染的概念及感染过程的表现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2.感染过程中病原体的作用及致病机制</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3.感染过程中人体的反应性</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4.传染病的基本特征及临床特点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5.传染病的流行过程及影响因素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6.传染病的预防</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7.传染病的诊断及治疗原则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（二）流行性感冒病人的护理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（三）肝炎病人的护理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（四）流行性乙型脑炎病人烦人护理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（五）流行性出血热病人的护理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（六）狂犬病病人的护理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（七）获得性免疫缺陷综合症病人的护理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（八）细菌性痢疾病人的护理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（九）伤寒病人的护理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（十）霍乱病人的护理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（十一）流行性脑脊髓膜炎病人的护理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（十二）钩端螺旋体病病人的护理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（十三）疟疾病人的护理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（十四）阿米巴病病人的护理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widowControl w:val="0"/>
              <w:numPr>
                <w:ilvl w:val="0"/>
                <w:numId w:val="7"/>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血吸虫病病人的护理</w:t>
            </w:r>
          </w:p>
          <w:p>
            <w:pPr>
              <w:keepNext w:val="0"/>
              <w:keepLines w:val="0"/>
              <w:pageBreakBefore w:val="0"/>
              <w:widowControl w:val="0"/>
              <w:numPr>
                <w:ilvl w:val="0"/>
                <w:numId w:val="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概述</w:t>
            </w:r>
          </w:p>
          <w:p>
            <w:pPr>
              <w:keepNext w:val="0"/>
              <w:keepLines w:val="0"/>
              <w:pageBreakBefore w:val="0"/>
              <w:widowControl w:val="0"/>
              <w:numPr>
                <w:ilvl w:val="0"/>
                <w:numId w:val="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护理评估</w:t>
            </w:r>
          </w:p>
          <w:p>
            <w:pPr>
              <w:keepNext w:val="0"/>
              <w:keepLines w:val="0"/>
              <w:pageBreakBefore w:val="0"/>
              <w:widowControl w:val="0"/>
              <w:numPr>
                <w:ilvl w:val="0"/>
                <w:numId w:val="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护理诊断及合作性问题</w:t>
            </w:r>
          </w:p>
          <w:p>
            <w:pPr>
              <w:keepNext w:val="0"/>
              <w:keepLines w:val="0"/>
              <w:pageBreakBefore w:val="0"/>
              <w:widowControl w:val="0"/>
              <w:numPr>
                <w:ilvl w:val="0"/>
                <w:numId w:val="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实践17：传染病区护理管理和隔离消毒</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实践18：病毒性肝炎病人的护理与获得性免疫缺陷综合症健康教育</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临床见习</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机动</w:t>
            </w:r>
          </w:p>
        </w:tc>
        <w:tc>
          <w:tcPr>
            <w:tcW w:w="4032"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41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bl>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57" w:name="_Toc30324"/>
      <w:r>
        <w:rPr>
          <w:rFonts w:hint="eastAsia" w:ascii="宋体" w:hAnsi="宋体" w:eastAsia="宋体" w:cs="宋体"/>
          <w:sz w:val="24"/>
          <w:szCs w:val="24"/>
          <w:lang w:eastAsia="zh-CN"/>
        </w:rPr>
        <w:t>四、实施建议</w:t>
      </w:r>
      <w:bookmarkEnd w:id="5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1．理论教学应注重联系实际，力争做到学习与岗位“零距离”接触，积极采用多媒体演示、讨论、情景教学等多种教学方法，启迪学生思维，培养其分析、解决临床实际问题的能力。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2．实践教学中常用诊疗技术护理主要在实训室进行，并结合临床见习，内科常见病病人的护理主要采用案例分析、多媒体演示、临床见习等。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3．教学过程中，可通过测验、提问、实验报告、技能考核和理论考试等多种形式对学生的知识、能力及态度进行综合考评。</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58" w:name="_Toc13996"/>
      <w:r>
        <w:rPr>
          <w:rFonts w:hint="eastAsia" w:ascii="宋体" w:hAnsi="宋体" w:eastAsia="宋体" w:cs="宋体"/>
          <w:sz w:val="24"/>
          <w:szCs w:val="24"/>
          <w:lang w:eastAsia="zh-CN"/>
        </w:rPr>
        <w:t>五、教学要求</w:t>
      </w:r>
      <w:bookmarkEnd w:id="58"/>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（一）教材编写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1．教材内容突出体现护理专业特色，并且统一各章节的编写风格和体例。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教材内容均按护理程序进行组织和编写；护理措施部分，在概述部分采用与护理诊断一一对应的方式编写，在具体疾病病人的护理中采取与护理诊断部分对应的方式编写；在编写形式上，增加了“知识拓展”和“知识链接”的有关内容，放在与正文部分相应的位置。每章末附有思考题，书后附实践指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3．处理好各章节间交叉的内容，避免不必要的重复。</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（二）教学模式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基本教学范式为：“第一环节：能力发展动员；第二环节：已有能力诊断；第三环节：能力发展教学；第四环节：能力发展鉴定；第五环节：能力教学反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其中，“能力发展教学”环节又分四步进行，即即采取小组教学的方式和“任务、行动、展示和评价”的程序与方法，让学生掌握能力发展所必须的知识、技能和态度。这是本教学模式的核心环节。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的三个基本特征是：教学形式的分组教学（不排除一定的大课教学）；教学时间的教少学多（一般是教的时间不多于三分之一，学的时间不少于三分之二，也不排除例外的情况）；教学运行的前诊（断）后鉴（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“五环四步三特征”能力本位职业教育课堂教学模式所指的课堂，从场地上讲，可以是传统教室课堂，也可以是校内实训基地课堂，还可以是校外职场课堂。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本专业推广应用“五环四步”教学模式，实施模拟、模块化教学。</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（三）教学条件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专业教师应定期深入护理工作一线，提高自己的技术水平和实践能力。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专业课教师中，应有1或2名学科带头人。学科带头人应具备本科及以上学历、具备高级职称任职资格，在当地护理行业具有较高的知名度与影响力，教学研究和科研能力素质优秀，具有丰富的专业理论与实践教学经历，在学校护理专业的建设与发展中发挥着良好的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建立稳定的行业专家兼职教师队伍，兼职教师应具备本科及以上学历，具有中级以上技术支撑和丰富的临床工作经验，具有良好的职业道德素养。对护理专业教学与人才培养目标有清晰的研究和认识，在学校教学及对专任教师的指导等专业建设与发展中起到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专任教师应具有相关专业本科及以上学历，并具有中等职业学校教师资格证书、相关执业资格证书。</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（四）教学评价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1.学校评价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（1）学生学业评价采取过程性评价与目标考核相结合，评价中注重过程性、激励性和发展性。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（2）素质评价主要由班主任、学生处、保卫科、团委组成，对学生的纪律、文明素养、参加社团活动、健康状况等进行综合评价。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2.行业评价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行业评价以技能等级鉴定为主线，将这条主线贯穿于专业理论和技能教学的全过程，鉴定标准为国家标准获行业标准。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企业评价包含以下几方面：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（1）企业专家到校上课，对学生的知识和技能掌握情况进行评价。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（2）企业师傅对学生到企业学习的评价。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（3）企业师傅对学生到企业顶岗实习的评价。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以上评价模式均以学分制为实施工具进行具体操作。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（五）教学资源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1．模型     2.电子教案    3.PPT</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59" w:name="_Toc30298"/>
      <w:r>
        <w:rPr>
          <w:rFonts w:hint="eastAsia" w:ascii="宋体" w:hAnsi="宋体" w:eastAsia="宋体" w:cs="宋体"/>
          <w:b/>
          <w:bCs/>
          <w:sz w:val="24"/>
          <w:szCs w:val="24"/>
          <w:lang w:eastAsia="zh-CN"/>
        </w:rPr>
        <w:t>十八、《外科护理》教学标准</w:t>
      </w:r>
      <w:bookmarkEnd w:id="59"/>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课程名称：外科护理学</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课程编号：10080118</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适用专业：临床护理专业</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课程类别：专业核心课</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教学时数：108</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60" w:name="_Toc15037"/>
      <w:r>
        <w:rPr>
          <w:rFonts w:hint="eastAsia" w:ascii="宋体" w:hAnsi="宋体" w:eastAsia="宋体" w:cs="宋体"/>
          <w:sz w:val="24"/>
          <w:szCs w:val="24"/>
          <w:lang w:eastAsia="zh-CN"/>
        </w:rPr>
        <w:t>一、前言</w:t>
      </w:r>
      <w:bookmarkEnd w:id="6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教材充分体现新一轮教学计划的特色，突出以就业为导向、以能力为本，贴近学生、服务岗位、科学发展的原则；求真务实，体现教材的“三基﹝基本理论知识、基本实践技能、基本态度方法﹞”“五性﹝思想性、科学性、先进性、启发性和适用性﹞”要求。教材内容的深度和广度，贴近中职护生岗位定位，适当兼顾护士职格证准入的客观要求，注意避免过多扩展或过于简单。特别强调教材的适用性与实用性。在教材“实践指导”中提供了一定的案例资源，创设贴近护理岗位的学习情境，为学生自主探究式学习与教师教学改革提供方便；对于操作技能的培养通过“实践指导”加以规范，便于教师过程的组织和学生技能实训教学为目标的达成。</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61" w:name="_Toc5631"/>
      <w:r>
        <w:rPr>
          <w:rFonts w:hint="eastAsia" w:ascii="宋体" w:hAnsi="宋体" w:eastAsia="宋体" w:cs="宋体"/>
          <w:sz w:val="24"/>
          <w:szCs w:val="24"/>
          <w:lang w:eastAsia="zh-CN"/>
        </w:rPr>
        <w:t>二、课程目标</w:t>
      </w:r>
      <w:bookmarkEnd w:id="6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了解：了解对基本知识、基本理论能有一定的认识，能够记忆所学的知识点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熟悉：熟悉外科常见病病人常用的护理诊断及合作性问题，并了解相应的护理目标、护理评价和有关疾病的概。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掌握：掌握外科常见病病人的护理评估、护理措施的主要内容。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（二）技能目标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学会：学会应用外科护理的基本理论、基本知识、基础护理技术及外科常用专科护理技术，初步解决外科护理过程中的实际问题，对常见疾病病人实施整体护理。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练掌握：熟练掌握外科常见病人的处理原则、掌握外科常见急危重症病人救护原则和方法，在教师的指导下，具有对病人进行初步应急处理和配合抢救的能力。熟悉手术室基本工作内容，遵循无菌技术原则，具有初步管理手术室和配合常见手术的能力。具有运用外科疾病预防保健知识和人际沟通技巧，向个体、家庭社区人群提供健康促进服务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（三）态度目标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培养学生良好的护士职业素质好行为习惯，在外科护理实践中表现出尊重、爱护护理对象，爱岗敬业、吃苦耐劳、热情耐心严谨求实的工作态度和作风，具有团队意识及协作精神。</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62" w:name="_Toc13036"/>
      <w:r>
        <w:rPr>
          <w:rFonts w:hint="eastAsia" w:ascii="宋体" w:hAnsi="宋体" w:eastAsia="宋体" w:cs="宋体"/>
          <w:sz w:val="24"/>
          <w:szCs w:val="24"/>
          <w:lang w:eastAsia="zh-CN"/>
        </w:rPr>
        <w:t>三、课程内容与要求</w:t>
      </w:r>
      <w:bookmarkEnd w:id="62"/>
    </w:p>
    <w:tbl>
      <w:tblPr>
        <w:tblStyle w:val="8"/>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3606"/>
        <w:gridCol w:w="1134"/>
        <w:gridCol w:w="1418"/>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047"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单元</w:t>
            </w:r>
          </w:p>
        </w:tc>
        <w:tc>
          <w:tcPr>
            <w:tcW w:w="3606"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教学内容</w:t>
            </w:r>
          </w:p>
        </w:tc>
        <w:tc>
          <w:tcPr>
            <w:tcW w:w="1134"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教学要求</w:t>
            </w:r>
          </w:p>
        </w:tc>
        <w:tc>
          <w:tcPr>
            <w:tcW w:w="1418"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教学活动</w:t>
            </w:r>
          </w:p>
        </w:tc>
        <w:tc>
          <w:tcPr>
            <w:tcW w:w="1559" w:type="dxa"/>
            <w:gridSpan w:val="2"/>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1047"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3606"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134"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418"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850"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w:t>
            </w:r>
          </w:p>
        </w:tc>
        <w:tc>
          <w:tcPr>
            <w:tcW w:w="70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一、绪论</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﹝一﹞外科护理的性质与内容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﹝二﹞外科护理的发展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﹝三﹞怎样学习外科护理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0"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二、外科体液代谢失衡病人的护理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﹝一﹞体液的正常代谢</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1．水平衡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2．电解质平衡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3．酸碱平衡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﹝二﹞水、钠代谢失衡的护理</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﹝三﹞钾代谢失衡的护理</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﹝四﹞酸碱代谢失衡病人的护理</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1．代谢性酸中毒</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2．代谢性碱中毒</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3．呼吸性酸中毒</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4．呼吸性碱中毒</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实践1：外科体液失衡病人的护理﹝体液代谢失衡护理评估、液体疗法病人的护理﹞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8"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三、外科休克病人的护理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2．病因分类与发病机制</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（二）休克病人的护理</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tabs>
                <w:tab w:val="right" w:pos="2985"/>
              </w:tabs>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实践2：休克病人的护理（护理评估、休克动态检测、急症护理措施）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四、外科病人营养代谢支持的护理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1.外科病人代谢特点及营养需求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2.营养代谢支持途径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（二）营养代谢支持病人的护理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7"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五、麻醉病人的护理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1.麻醉的概念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2.麻醉的分类与方法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（二）麻醉前的护理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（三）麻醉后的监测与护理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1.病情评估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实践3：麻醉并发症的观察与护理。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8"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六、手术前后病人的护理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1.手术前后的概念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2.手术的分类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（二）手术前病人的护理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（三）手术中病人的护理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1.手术室设施与设备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2.手术室的管理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3.常用手术物品与器械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4.手术人员准备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5.手术室护士主要岗位与配合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（四）手术后病人的护理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5"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实践4：手术前病人的准备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实践5：手术人员的无菌准备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实践6：常用手术器械，物品的识别和应用</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实践7：手术体位的安置，器械台管理和手术中的配合</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60"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七、外科感染病人的护理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1.外科感染的特点与分类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2.发病条件与转归</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（二）常见化脓性感染病人的护理（含局部软组织及全身感染）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（三）特异性感染病人的护理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1.破伤风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2.气性坏疽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7"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实践8：外科感染病人的护理（常见局部软组织化脓性感染的护理评估，破伤风感染的护理评估及预防）</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5"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八、损伤病人的护理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1．病因与分类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2．伤口修复过程及影响因素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（二）创伤病人的护理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（三）烧伤病人的护理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（四）伤口护理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1．换药用品与管理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2．清创与换药</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实践9：清创术与换药（清创示教，换药方法）</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九、肿瘤病人的护理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1．心理护理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2．疼痛护理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3．手术治疗的护理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4．放射治疗的护理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5．化学治疗的护理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（六）护理评价</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十、颅脑疾病病人的护理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（一）颅内压增高病人的护理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（二）颅脑损伤病人的护理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1.头皮损伤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2．颅骨骨折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3．脑损伤</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实践10：颅脑损伤病人的护理（意识与瞳孔观察，脑脊液漏的护理，降低颅内压的护理措施）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十一、颈部疾病病人的护理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（一）解剖生理概要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（二）甲状腺功能亢进外科治疗病人的护理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widowControl w:val="0"/>
              <w:numPr>
                <w:ilvl w:val="0"/>
                <w:numId w:val="9"/>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甲状腺肿瘤病人的护理</w:t>
            </w:r>
          </w:p>
          <w:p>
            <w:pPr>
              <w:keepNext w:val="0"/>
              <w:keepLines w:val="0"/>
              <w:pageBreakBefore w:val="0"/>
              <w:widowControl w:val="0"/>
              <w:numPr>
                <w:ilvl w:val="0"/>
                <w:numId w:val="9"/>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常见颈部肿块的护理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6"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实践11：甲状腺功能亢进病人的护理（护理评估，基础代谢率测定与评价，碘剂使用，术后并发症的观察）</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0"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十二、乳房疾病病人的护理</w:t>
            </w:r>
          </w:p>
        </w:tc>
        <w:tc>
          <w:tcPr>
            <w:tcW w:w="3606" w:type="dxa"/>
            <w:noWrap w:val="0"/>
            <w:vAlign w:val="top"/>
          </w:tcPr>
          <w:p>
            <w:pPr>
              <w:keepNext w:val="0"/>
              <w:keepLines w:val="0"/>
              <w:pageBreakBefore w:val="0"/>
              <w:widowControl w:val="0"/>
              <w:numPr>
                <w:ilvl w:val="0"/>
                <w:numId w:val="1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解剖生理概要</w:t>
            </w:r>
          </w:p>
          <w:p>
            <w:pPr>
              <w:keepNext w:val="0"/>
              <w:keepLines w:val="0"/>
              <w:pageBreakBefore w:val="0"/>
              <w:widowControl w:val="0"/>
              <w:numPr>
                <w:ilvl w:val="0"/>
                <w:numId w:val="1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急性乳房炎病人的护理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widowControl w:val="0"/>
              <w:numPr>
                <w:ilvl w:val="0"/>
                <w:numId w:val="1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乳房癌的病人护理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widowControl w:val="0"/>
              <w:numPr>
                <w:ilvl w:val="0"/>
                <w:numId w:val="1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乳房良性肿瘤病人的护理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1．乳房纤维腺瘤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2．乳房内乳头瘤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3．乳腺囊性增加</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实践12：乳房癌病人的护理（乳房自我检查，乳癌术后康复锻炼）</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7"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十三、胸部疾病病人的护理</w:t>
            </w:r>
          </w:p>
        </w:tc>
        <w:tc>
          <w:tcPr>
            <w:tcW w:w="3606" w:type="dxa"/>
            <w:noWrap w:val="0"/>
            <w:vAlign w:val="top"/>
          </w:tcPr>
          <w:p>
            <w:pPr>
              <w:keepNext w:val="0"/>
              <w:keepLines w:val="0"/>
              <w:pageBreakBefore w:val="0"/>
              <w:widowControl w:val="0"/>
              <w:numPr>
                <w:ilvl w:val="0"/>
                <w:numId w:val="1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解剖生理概要</w:t>
            </w:r>
          </w:p>
          <w:p>
            <w:pPr>
              <w:keepNext w:val="0"/>
              <w:keepLines w:val="0"/>
              <w:pageBreakBefore w:val="0"/>
              <w:widowControl w:val="0"/>
              <w:numPr>
                <w:ilvl w:val="0"/>
                <w:numId w:val="1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胸部损伤病人护理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1．肋骨骨折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2．损伤性气胸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3．损伤性血胸</w:t>
            </w:r>
          </w:p>
          <w:p>
            <w:pPr>
              <w:keepNext w:val="0"/>
              <w:keepLines w:val="0"/>
              <w:pageBreakBefore w:val="0"/>
              <w:widowControl w:val="0"/>
              <w:numPr>
                <w:ilvl w:val="0"/>
                <w:numId w:val="1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脓胸病人的护理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3．护理措施</w:t>
            </w:r>
          </w:p>
          <w:p>
            <w:pPr>
              <w:keepNext w:val="0"/>
              <w:keepLines w:val="0"/>
              <w:pageBreakBefore w:val="0"/>
              <w:widowControl w:val="0"/>
              <w:numPr>
                <w:ilvl w:val="0"/>
                <w:numId w:val="1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胸部肿瘤病人的护理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1．概述（肺癌，食管癌）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实践13：胸部疾病病人的护理（胸腔闭式引流术的护理，胸部术后常见并发症观察）</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3"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十四、急性化脓性腹膜炎与腹部损伤病人的护理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（一）解剖生理概要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（二）急性腹膜炎病人的护理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（三）腹部损伤病人的护理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（四）胃肠减压术护理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2"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实践14：腹膜炎与腹部损伤病人的护理（腹腔穿刺，胃肠减压，腹腔引流等护理）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65"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十五、胃肠疾病病人的护理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（一）解剖生理概要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（二）腹外疝病人的护理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（三）胃、十二指肠疾病围手术期病人的护理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1．概述（溃疡，胃癌）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（四）急性阑尾炎病人的护理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widowControl w:val="0"/>
              <w:numPr>
                <w:ilvl w:val="0"/>
                <w:numId w:val="1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肠梗阻病人的护理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widowControl w:val="0"/>
              <w:numPr>
                <w:ilvl w:val="0"/>
                <w:numId w:val="1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结直肠癌病人的护理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widowControl w:val="0"/>
              <w:numPr>
                <w:ilvl w:val="0"/>
                <w:numId w:val="1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直肠肛管良性病人的护理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1．概述（痔，肛裂，直肠肛管周围脓肿，肛瘘，直肠脱垂）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实践15：胃肠外科疾病病人的护理（各种疾病护理评估，术后病人并发症观察，主要护理措施）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实践16：结肠造口（人工肛门）病人的护理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十六、肝胆胰疾病病人的护理</w:t>
            </w:r>
          </w:p>
        </w:tc>
        <w:tc>
          <w:tcPr>
            <w:tcW w:w="3606" w:type="dxa"/>
            <w:noWrap w:val="0"/>
            <w:vAlign w:val="top"/>
          </w:tcPr>
          <w:p>
            <w:pPr>
              <w:keepNext w:val="0"/>
              <w:keepLines w:val="0"/>
              <w:pageBreakBefore w:val="0"/>
              <w:widowControl w:val="0"/>
              <w:numPr>
                <w:ilvl w:val="0"/>
                <w:numId w:val="1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解剖生理学要</w:t>
            </w:r>
          </w:p>
          <w:p>
            <w:pPr>
              <w:keepNext w:val="0"/>
              <w:keepLines w:val="0"/>
              <w:pageBreakBefore w:val="0"/>
              <w:widowControl w:val="0"/>
              <w:numPr>
                <w:ilvl w:val="0"/>
                <w:numId w:val="1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肝脓肿病人的护理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1．细菌性肝脓肿</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2．阿米巴肝脓肿</w:t>
            </w:r>
          </w:p>
          <w:p>
            <w:pPr>
              <w:keepNext w:val="0"/>
              <w:keepLines w:val="0"/>
              <w:pageBreakBefore w:val="0"/>
              <w:widowControl w:val="0"/>
              <w:numPr>
                <w:ilvl w:val="0"/>
                <w:numId w:val="1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原发性肝癌病人的护理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widowControl w:val="0"/>
              <w:numPr>
                <w:ilvl w:val="0"/>
                <w:numId w:val="1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门静脉高压症病人的护理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（五）胆道疾病病人的护理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1．概述（胆结石，胆道感染及胆道蛔虫病）</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﹝六﹞胰腺癌病人的护理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实践17：肝胆疾病病人的护理（门静脉高压症，胆道感染及胰腺癌病人的护理评估，“T”管护理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十七、外科急腹症病人的护理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十八、周围血管疾病病人的护理</w:t>
            </w:r>
          </w:p>
        </w:tc>
        <w:tc>
          <w:tcPr>
            <w:tcW w:w="3606" w:type="dxa"/>
            <w:noWrap w:val="0"/>
            <w:vAlign w:val="top"/>
          </w:tcPr>
          <w:p>
            <w:pPr>
              <w:keepNext w:val="0"/>
              <w:keepLines w:val="0"/>
              <w:pageBreakBefore w:val="0"/>
              <w:widowControl w:val="0"/>
              <w:numPr>
                <w:ilvl w:val="0"/>
                <w:numId w:val="13"/>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原发性下肢静脉曲病人的护理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widowControl w:val="0"/>
              <w:numPr>
                <w:ilvl w:val="0"/>
                <w:numId w:val="13"/>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血栓闭塞性脉管炎病人的护理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十九、泌尿及男性生殖系统疾病病人的护理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（一）常见症状及诊疗操作的护理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1．常见症状（排尿、尿液异常）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2．诊疗操作的护理（X线检查、膀胱镜检查、膀胱冲洗）</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（二）泌尿损伤病人的护理（肾、膀胱、尿道损伤）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（三）泌尿系统结石病人的护理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（四）良性前列腺增生病人的护理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（五）泌尿系结核病人的护理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（六）泌尿系肿瘤病人的护理（肾、膀胱肿瘤）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实践18：泌尿外科常用护理技术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（耻骨上膀胱造瘘、肾盂引流、留置尿管等护理）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2"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二十、骨与关节疾病病人的护理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（一）骨折病人的护理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2．常见骨折病人的护理(桡骨远端骨折、肱骨髁上骨折、股骨颈骨骨折、脊柱骨折)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（二）关节脱位病人的护理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2．常见关节脱位的护理（肩、肘、髋关节）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（三）化脓性骨髓炎病人的护理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（四）骨关节结核病人的护理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（五）颈、腰椎退行性疾病病人的护理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1．颈椎病病人的护理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腰椎间盘突出症病人的护理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（六）骨肿瘤病人的护理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（七）截瘫病人的护理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（八）产伤骨折与产瘫患儿的护理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角色扮演</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6"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实践19：骨关节损伤病人的护理（皮肤牵引术、谷歌牵引术、石膏固定术、小夹板固定术）</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1047"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二十一、先天性畸形患儿的护理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（六）护理评价</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3" w:hRule="atLeast"/>
        </w:trPr>
        <w:tc>
          <w:tcPr>
            <w:tcW w:w="1047"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二十二、皮肤、性病病人的护理</w:t>
            </w: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1．皮肤结构和功能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2．皮肤疾病病因分类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3．护理（评估、措施）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（二）变态反应性皮肤病病人的护理（接触性皮疹、湿疹、荨麻疹、药疹）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（三）感染性皮肤病病人的护理（脓疱疹、浅部真菌病、带状疱疹、疥疮）</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（四）其他皮肤病病人的护理（银屑病、神经性皮炎）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（五）常见性病病人的护理（淋病、梅病、尖锐湿疣）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3．护理诊断及合作性问题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情景教学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实践20：常见皮肤并病人的护理</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trPr>
        <w:tc>
          <w:tcPr>
            <w:tcW w:w="1047"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3606"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实践12：乳房癌病人的护理（乳房自我检查，乳癌术后康复锻炼）</w:t>
            </w:r>
          </w:p>
        </w:tc>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850"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r>
    </w:tbl>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63" w:name="_Toc6202"/>
      <w:r>
        <w:rPr>
          <w:rFonts w:hint="eastAsia" w:ascii="宋体" w:hAnsi="宋体" w:eastAsia="宋体" w:cs="宋体"/>
          <w:sz w:val="24"/>
          <w:szCs w:val="24"/>
          <w:lang w:eastAsia="zh-CN"/>
        </w:rPr>
        <w:t>四、实施建议</w:t>
      </w:r>
      <w:bookmarkEnd w:id="6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1．由于外科护理课程特点，理论教学应根据内容灵活多样，应尽可能贴近护理岗位“情境”，多采用现代化教学手段，以激发学生的学习兴趣及外科护理工作过程的感性认识。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实践教学尽可能在实训室训练、临床见习环境下进行，通过实践教学增加学生对理论知识的理解，培养灵活运用知识的能力、临床思维能力以及规范的专科护理技术操作能力，重点强调临床评判性思维能力及解决实际问题的能力的培养，为增加实践教学的指导性，本大纲列出了实践教学应关注的重点内容，教学实践不是理论教学的重复，贵在学生能力的培养，在保证完成内容充实的前提下，可因地制宜选用多种方式达成实践教学的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实施评价不仅要关注学生知识的掌握和能力的提高，还要关注护生情感态度与价值观的形成与发展，评价中要不断渗透和强化护理关怀照料、以人为本的服务理理念；同时实施评价不仅要关注学生学习的结果，更要关注护生在获得结果的过程中所做的努力，因此要坚持形成性评价与终结性评价相结合，且以形成性评价为主的评价方式。教学过程中，可通过平时提问、实训观察与报告、技能考核和理论考试等多种形式对学生的知识、能力及态度进行综合考评。</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64" w:name="_Toc7046"/>
      <w:r>
        <w:rPr>
          <w:rFonts w:hint="eastAsia" w:ascii="宋体" w:hAnsi="宋体" w:eastAsia="宋体" w:cs="宋体"/>
          <w:sz w:val="24"/>
          <w:szCs w:val="24"/>
          <w:lang w:eastAsia="zh-CN"/>
        </w:rPr>
        <w:t>五、教学要求</w:t>
      </w:r>
      <w:bookmarkEnd w:id="64"/>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（一）教材编写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1．必须依据本课程标准编写教材。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教材编写本着“以服务为宗旨，以岗位需求为导向”的卫生职业教育办学方针，坚持以就业为导向，以能力为本位的指导思想，注重“三基”，即基础理论、基本知识、基本技能；保证“五性”，即先进性、思想性、科学性、启发性和适应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材特点：①突出三贴近：贴近社会、贴近岗位、贴近学生。强调职业需要，以够用为原则，删减高深繁琐的内容；②每章前的科普化导言，引导学习目标；适应中职学生年龄特点，培养学生学习兴趣和能力；③趣味性的学科知识点穿插在正文中，更能激发学生的求知欲望和科学进取精神；④思考题具有很强的启发性，紧扣职业证书、职业教育考试，供学生参考应用。</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（二）教学条件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专业教师应定期深入护理工作一线，提高自己的技术水平和实践能力。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专业课教师中，应有1或2名学科带头人。学科带头人应具备本科及以上学历、具备高级职称任职资格，在当地护理行业具有较高的知名度与影响力，教学研究和科研能力素质优秀，具有丰富的专业理论与实践教学经历，在学校护理专业的建设与发展中发挥着良好的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建立稳定的行业专家兼职教师队伍，兼职教师应具备本科及以上学历，具有中级以上技术支撑和丰富的临床工作经验，具有良好的职业道德素养。对护理专业教学与人才培养目标有清晰的研究和认识，在学校教学及对专任教师的指导等专业建设与发展中起到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专任教师应具有相关专业本科及以上学历，并具有中等职业学校教师资格证书、相关执业资格证书。</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（三）教学评价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1.学校评价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（1）学生学业评价采取过程性评价与目标考核相结合，评价中注重过程性、激励性和发展性。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（2）素质评价主要由班主任、学生处、保卫科、团委组成，对学生的纪律、文明素养、参加社团活动、健康状况等进行综合评价。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2.行业评价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行业评价以技能等级鉴定为主线，将这条主线贯穿于专业理论和技能教学的全过程，鉴定标准为国家标准获行业标准。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企业评价包含以下几方面：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（1）企业专家到校上课，对学生的知识和技能掌握情况进行评价。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（2）企业师傅对学生到企业学习的评价。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（3）企业师傅对学生到企业顶岗实习的评价。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以上评价模式均以学分制为实施工具进行具体操作。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（五）教学资源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1．模型    2.电子教案    3.PPT</w:t>
      </w:r>
    </w:p>
    <w:p>
      <w:pPr>
        <w:keepNext w:val="0"/>
        <w:keepLines w:val="0"/>
        <w:pageBreakBefore w:val="0"/>
        <w:kinsoku/>
        <w:wordWrap/>
        <w:overflowPunct/>
        <w:topLinePunct w:val="0"/>
        <w:bidi w:val="0"/>
        <w:spacing w:line="360" w:lineRule="auto"/>
        <w:textAlignment w:val="auto"/>
        <w:outlineLvl w:val="0"/>
        <w:rPr>
          <w:rFonts w:hint="eastAsia" w:ascii="宋体" w:hAnsi="宋体" w:eastAsia="宋体" w:cs="宋体"/>
          <w:b/>
          <w:bCs/>
          <w:sz w:val="24"/>
          <w:szCs w:val="24"/>
          <w:lang w:eastAsia="zh-CN"/>
        </w:rPr>
      </w:pPr>
      <w:bookmarkStart w:id="65" w:name="_Toc429"/>
      <w:r>
        <w:rPr>
          <w:rFonts w:hint="eastAsia" w:ascii="宋体" w:hAnsi="宋体" w:eastAsia="宋体" w:cs="宋体"/>
          <w:b/>
          <w:bCs/>
          <w:sz w:val="24"/>
          <w:szCs w:val="24"/>
          <w:lang w:eastAsia="zh-CN"/>
        </w:rPr>
        <w:t>十九、《妇产科》教学标准</w:t>
      </w:r>
      <w:bookmarkEnd w:id="65"/>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课程名称：妇产科护理</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课程编号：10080119</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适用专业：临床护理专业</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课程类别：专业核心课</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教学时数：72</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66" w:name="_Toc8707"/>
      <w:r>
        <w:rPr>
          <w:rFonts w:hint="eastAsia" w:ascii="宋体" w:hAnsi="宋体" w:eastAsia="宋体" w:cs="宋体"/>
          <w:sz w:val="24"/>
          <w:szCs w:val="24"/>
          <w:lang w:eastAsia="zh-CN"/>
        </w:rPr>
        <w:t>一、前言</w:t>
      </w:r>
      <w:bookmarkEnd w:id="6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妇产科护理是护理专业的重要专业课程，主要研究妊娠期、分娩期、产褥期及非妊娠期妇女的护理。学习本课程主要使学生树立“以人的健康为中心”的现代护理理念，在学习和实践中培养学生具有良好的职业素质及专业知识与技能，能运用现代护理理论和技术对妇产科病人进行整体护理，能对个体、家庭、社区进行保健指导与健康教育。</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67" w:name="_Toc8141"/>
      <w:r>
        <w:rPr>
          <w:rFonts w:hint="eastAsia" w:ascii="宋体" w:hAnsi="宋体" w:eastAsia="宋体" w:cs="宋体"/>
          <w:sz w:val="24"/>
          <w:szCs w:val="24"/>
          <w:lang w:eastAsia="zh-CN"/>
        </w:rPr>
        <w:t>二、课程目标</w:t>
      </w:r>
      <w:bookmarkEnd w:id="67"/>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（一）知识目标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了解：妇产科护理的概念、范畴、发展趋势。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熟悉：妇产科常见病病人的护理评估、护理诊断及合作性问题并制定护理计划。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掌握：妇产科护理的基本理论、基本知识及常见病病人的护理措施。</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（二）技能目标：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1．具有协助和指导病人进行自我保健能力。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2．能正确地进行妇产科主要护理技术操作。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3．了解英语国家高发疾病的护理评估及护理措施。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4．具有向个体、家庭、社区提供保健服务和开展健康教育的能力。</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（三）态度目标：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1．培养良好的职业素质和行为习惯;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2．具有良好的职业道德修养和团队协作精神。</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68" w:name="_Toc17533"/>
      <w:r>
        <w:rPr>
          <w:rFonts w:hint="eastAsia" w:ascii="宋体" w:hAnsi="宋体" w:eastAsia="宋体" w:cs="宋体"/>
          <w:sz w:val="24"/>
          <w:szCs w:val="24"/>
          <w:lang w:eastAsia="zh-CN"/>
        </w:rPr>
        <w:t>三、课程内容与要求</w:t>
      </w:r>
      <w:bookmarkEnd w:id="68"/>
    </w:p>
    <w:tbl>
      <w:tblPr>
        <w:tblStyle w:val="8"/>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38"/>
        <w:gridCol w:w="1224"/>
        <w:gridCol w:w="1418"/>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134"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单元</w:t>
            </w:r>
          </w:p>
        </w:tc>
        <w:tc>
          <w:tcPr>
            <w:tcW w:w="4138"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教学内容</w:t>
            </w:r>
          </w:p>
        </w:tc>
        <w:tc>
          <w:tcPr>
            <w:tcW w:w="1224"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教学要求</w:t>
            </w:r>
          </w:p>
        </w:tc>
        <w:tc>
          <w:tcPr>
            <w:tcW w:w="1418" w:type="dxa"/>
            <w:vMerge w:val="restart"/>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教学活动</w:t>
            </w:r>
          </w:p>
        </w:tc>
        <w:tc>
          <w:tcPr>
            <w:tcW w:w="1417" w:type="dxa"/>
            <w:gridSpan w:val="2"/>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134"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4138"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224"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1418" w:type="dxa"/>
            <w:vMerge w:val="continue"/>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p>
        </w:tc>
        <w:tc>
          <w:tcPr>
            <w:tcW w:w="708"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w:t>
            </w:r>
          </w:p>
        </w:tc>
        <w:tc>
          <w:tcPr>
            <w:tcW w:w="709" w:type="dxa"/>
            <w:noWrap w:val="0"/>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一、绪论</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（一）妇产科护理的性质及内容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（二）妇产科护理的学习目的及方法</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（三）妇产科护理的发展趋势</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二、女性生殖系统解剖及生理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（一）骨盆</w:t>
            </w:r>
          </w:p>
          <w:p>
            <w:pPr>
              <w:keepNext w:val="0"/>
              <w:keepLines w:val="0"/>
              <w:pageBreakBefore w:val="0"/>
              <w:widowControl w:val="0"/>
              <w:numPr>
                <w:ilvl w:val="0"/>
                <w:numId w:val="1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骨盆的组成与分界</w:t>
            </w:r>
          </w:p>
          <w:p>
            <w:pPr>
              <w:keepNext w:val="0"/>
              <w:keepLines w:val="0"/>
              <w:pageBreakBefore w:val="0"/>
              <w:widowControl w:val="0"/>
              <w:numPr>
                <w:ilvl w:val="0"/>
                <w:numId w:val="1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骨盆的平面及径线</w:t>
            </w:r>
          </w:p>
          <w:p>
            <w:pPr>
              <w:keepNext w:val="0"/>
              <w:keepLines w:val="0"/>
              <w:pageBreakBefore w:val="0"/>
              <w:widowControl w:val="0"/>
              <w:numPr>
                <w:ilvl w:val="0"/>
                <w:numId w:val="1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骨盆轴及骨盆倾斜度</w:t>
            </w:r>
          </w:p>
          <w:p>
            <w:pPr>
              <w:keepNext w:val="0"/>
              <w:keepLines w:val="0"/>
              <w:pageBreakBefore w:val="0"/>
              <w:widowControl w:val="0"/>
              <w:numPr>
                <w:ilvl w:val="0"/>
                <w:numId w:val="1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骨盆底组织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（二）女性生殖系统解剖</w:t>
            </w:r>
          </w:p>
          <w:p>
            <w:pPr>
              <w:keepNext w:val="0"/>
              <w:keepLines w:val="0"/>
              <w:pageBreakBefore w:val="0"/>
              <w:widowControl w:val="0"/>
              <w:numPr>
                <w:ilvl w:val="0"/>
                <w:numId w:val="1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外生殖器</w:t>
            </w:r>
          </w:p>
          <w:p>
            <w:pPr>
              <w:keepNext w:val="0"/>
              <w:keepLines w:val="0"/>
              <w:pageBreakBefore w:val="0"/>
              <w:widowControl w:val="0"/>
              <w:numPr>
                <w:ilvl w:val="0"/>
                <w:numId w:val="1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内生殖器</w:t>
            </w:r>
          </w:p>
          <w:p>
            <w:pPr>
              <w:keepNext w:val="0"/>
              <w:keepLines w:val="0"/>
              <w:pageBreakBefore w:val="0"/>
              <w:widowControl w:val="0"/>
              <w:numPr>
                <w:ilvl w:val="0"/>
                <w:numId w:val="1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邻近器官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（三）女性生殖系统生理</w:t>
            </w:r>
          </w:p>
          <w:p>
            <w:pPr>
              <w:keepNext w:val="0"/>
              <w:keepLines w:val="0"/>
              <w:pageBreakBefore w:val="0"/>
              <w:widowControl w:val="0"/>
              <w:numPr>
                <w:ilvl w:val="0"/>
                <w:numId w:val="1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妇女一生个阶段的生理特点</w:t>
            </w:r>
          </w:p>
          <w:p>
            <w:pPr>
              <w:keepNext w:val="0"/>
              <w:keepLines w:val="0"/>
              <w:pageBreakBefore w:val="0"/>
              <w:widowControl w:val="0"/>
              <w:numPr>
                <w:ilvl w:val="0"/>
                <w:numId w:val="1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卵巢的周期性变化及其功能</w:t>
            </w:r>
          </w:p>
          <w:p>
            <w:pPr>
              <w:keepNext w:val="0"/>
              <w:keepLines w:val="0"/>
              <w:pageBreakBefore w:val="0"/>
              <w:widowControl w:val="0"/>
              <w:numPr>
                <w:ilvl w:val="0"/>
                <w:numId w:val="1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子宫内膜的周期性变化及月经</w:t>
            </w:r>
          </w:p>
          <w:p>
            <w:pPr>
              <w:keepNext w:val="0"/>
              <w:keepLines w:val="0"/>
              <w:pageBreakBefore w:val="0"/>
              <w:widowControl w:val="0"/>
              <w:numPr>
                <w:ilvl w:val="0"/>
                <w:numId w:val="1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月经周期的调节</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3"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三、正常妊娠期孕妇的护理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（一）受精及受精卵的植入与发育</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（二）胎儿</w:t>
            </w:r>
          </w:p>
          <w:p>
            <w:pPr>
              <w:keepNext w:val="0"/>
              <w:keepLines w:val="0"/>
              <w:pageBreakBefore w:val="0"/>
              <w:widowControl w:val="0"/>
              <w:numPr>
                <w:ilvl w:val="0"/>
                <w:numId w:val="17"/>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胎儿的发育特征</w:t>
            </w:r>
          </w:p>
          <w:p>
            <w:pPr>
              <w:keepNext w:val="0"/>
              <w:keepLines w:val="0"/>
              <w:pageBreakBefore w:val="0"/>
              <w:widowControl w:val="0"/>
              <w:numPr>
                <w:ilvl w:val="0"/>
                <w:numId w:val="17"/>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胎头结构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（三）胎儿附属物的形成及其功能</w:t>
            </w:r>
          </w:p>
          <w:p>
            <w:pPr>
              <w:keepNext w:val="0"/>
              <w:keepLines w:val="0"/>
              <w:pageBreakBefore w:val="0"/>
              <w:widowControl w:val="0"/>
              <w:numPr>
                <w:ilvl w:val="0"/>
                <w:numId w:val="1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胎盘{结构、形态、功能}</w:t>
            </w:r>
          </w:p>
          <w:p>
            <w:pPr>
              <w:keepNext w:val="0"/>
              <w:keepLines w:val="0"/>
              <w:pageBreakBefore w:val="0"/>
              <w:widowControl w:val="0"/>
              <w:numPr>
                <w:ilvl w:val="0"/>
                <w:numId w:val="1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胎膜</w:t>
            </w:r>
          </w:p>
          <w:p>
            <w:pPr>
              <w:keepNext w:val="0"/>
              <w:keepLines w:val="0"/>
              <w:pageBreakBefore w:val="0"/>
              <w:widowControl w:val="0"/>
              <w:numPr>
                <w:ilvl w:val="0"/>
                <w:numId w:val="1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羊水</w:t>
            </w:r>
          </w:p>
          <w:p>
            <w:pPr>
              <w:keepNext w:val="0"/>
              <w:keepLines w:val="0"/>
              <w:pageBreakBefore w:val="0"/>
              <w:widowControl w:val="0"/>
              <w:numPr>
                <w:ilvl w:val="0"/>
                <w:numId w:val="1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脐带</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（四）妊娠期母体的生理及心理变化</w:t>
            </w:r>
          </w:p>
          <w:p>
            <w:pPr>
              <w:keepNext w:val="0"/>
              <w:keepLines w:val="0"/>
              <w:pageBreakBefore w:val="0"/>
              <w:widowControl w:val="0"/>
              <w:numPr>
                <w:ilvl w:val="0"/>
                <w:numId w:val="19"/>
              </w:numPr>
              <w:kinsoku/>
              <w:wordWrap/>
              <w:overflowPunct/>
              <w:topLinePunct w:val="0"/>
              <w:bidi w:val="0"/>
              <w:spacing w:line="360" w:lineRule="auto"/>
              <w:ind w:left="360" w:hanging="3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生理变化</w:t>
            </w:r>
          </w:p>
          <w:p>
            <w:pPr>
              <w:keepNext w:val="0"/>
              <w:keepLines w:val="0"/>
              <w:pageBreakBefore w:val="0"/>
              <w:widowControl w:val="0"/>
              <w:numPr>
                <w:ilvl w:val="0"/>
                <w:numId w:val="19"/>
              </w:numPr>
              <w:kinsoku/>
              <w:wordWrap/>
              <w:overflowPunct/>
              <w:topLinePunct w:val="0"/>
              <w:bidi w:val="0"/>
              <w:spacing w:line="360" w:lineRule="auto"/>
              <w:ind w:left="360" w:hanging="3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心理变化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（五）妊娠诊断</w:t>
            </w:r>
          </w:p>
          <w:p>
            <w:pPr>
              <w:keepNext w:val="0"/>
              <w:keepLines w:val="0"/>
              <w:pageBreakBefore w:val="0"/>
              <w:widowControl w:val="0"/>
              <w:numPr>
                <w:ilvl w:val="0"/>
                <w:numId w:val="2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早期妊娠</w:t>
            </w:r>
          </w:p>
          <w:p>
            <w:pPr>
              <w:keepNext w:val="0"/>
              <w:keepLines w:val="0"/>
              <w:pageBreakBefore w:val="0"/>
              <w:widowControl w:val="0"/>
              <w:numPr>
                <w:ilvl w:val="0"/>
                <w:numId w:val="2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中、晚期妊娠</w:t>
            </w:r>
          </w:p>
          <w:p>
            <w:pPr>
              <w:keepNext w:val="0"/>
              <w:keepLines w:val="0"/>
              <w:pageBreakBefore w:val="0"/>
              <w:widowControl w:val="0"/>
              <w:numPr>
                <w:ilvl w:val="0"/>
                <w:numId w:val="2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胎产式、胎先露、胎方位</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（六）妊娠期孕妇的护理</w:t>
            </w:r>
          </w:p>
          <w:p>
            <w:pPr>
              <w:keepNext w:val="0"/>
              <w:keepLines w:val="0"/>
              <w:pageBreakBefore w:val="0"/>
              <w:widowControl w:val="0"/>
              <w:numPr>
                <w:ilvl w:val="0"/>
                <w:numId w:val="2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概述</w:t>
            </w:r>
          </w:p>
          <w:p>
            <w:pPr>
              <w:keepNext w:val="0"/>
              <w:keepLines w:val="0"/>
              <w:pageBreakBefore w:val="0"/>
              <w:widowControl w:val="0"/>
              <w:numPr>
                <w:ilvl w:val="0"/>
                <w:numId w:val="2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护理评估</w:t>
            </w:r>
          </w:p>
          <w:p>
            <w:pPr>
              <w:keepNext w:val="0"/>
              <w:keepLines w:val="0"/>
              <w:pageBreakBefore w:val="0"/>
              <w:widowControl w:val="0"/>
              <w:numPr>
                <w:ilvl w:val="0"/>
                <w:numId w:val="2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护理诊断、合作问题</w:t>
            </w:r>
          </w:p>
          <w:p>
            <w:pPr>
              <w:keepNext w:val="0"/>
              <w:keepLines w:val="0"/>
              <w:pageBreakBefore w:val="0"/>
              <w:widowControl w:val="0"/>
              <w:numPr>
                <w:ilvl w:val="0"/>
                <w:numId w:val="2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护理目标</w:t>
            </w:r>
          </w:p>
          <w:p>
            <w:pPr>
              <w:keepNext w:val="0"/>
              <w:keepLines w:val="0"/>
              <w:pageBreakBefore w:val="0"/>
              <w:widowControl w:val="0"/>
              <w:numPr>
                <w:ilvl w:val="0"/>
                <w:numId w:val="2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护理措施</w:t>
            </w:r>
          </w:p>
          <w:p>
            <w:pPr>
              <w:keepNext w:val="0"/>
              <w:keepLines w:val="0"/>
              <w:pageBreakBefore w:val="0"/>
              <w:widowControl w:val="0"/>
              <w:numPr>
                <w:ilvl w:val="0"/>
                <w:numId w:val="2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（七）评估胎儿健康的技术</w:t>
            </w:r>
          </w:p>
          <w:p>
            <w:pPr>
              <w:keepNext w:val="0"/>
              <w:keepLines w:val="0"/>
              <w:pageBreakBefore w:val="0"/>
              <w:widowControl w:val="0"/>
              <w:numPr>
                <w:ilvl w:val="0"/>
                <w:numId w:val="2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胎儿宫内情况的监护</w:t>
            </w:r>
          </w:p>
          <w:p>
            <w:pPr>
              <w:keepNext w:val="0"/>
              <w:keepLines w:val="0"/>
              <w:pageBreakBefore w:val="0"/>
              <w:widowControl w:val="0"/>
              <w:numPr>
                <w:ilvl w:val="0"/>
                <w:numId w:val="2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胎盘功能检查</w:t>
            </w:r>
          </w:p>
          <w:p>
            <w:pPr>
              <w:keepNext w:val="0"/>
              <w:keepLines w:val="0"/>
              <w:pageBreakBefore w:val="0"/>
              <w:widowControl w:val="0"/>
              <w:numPr>
                <w:ilvl w:val="0"/>
                <w:numId w:val="2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胎儿成熟度检查</w:t>
            </w:r>
          </w:p>
          <w:p>
            <w:pPr>
              <w:keepNext w:val="0"/>
              <w:keepLines w:val="0"/>
              <w:pageBreakBefore w:val="0"/>
              <w:widowControl w:val="0"/>
              <w:numPr>
                <w:ilvl w:val="0"/>
                <w:numId w:val="2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胎儿先天畸形遗传性疾病的宫内诊断</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实践1：产前检查</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训练掌握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7" w:hRule="atLeast"/>
        </w:trPr>
        <w:tc>
          <w:tcPr>
            <w:tcW w:w="1134"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四、正常分娩期产妇的护理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（一）决定分娩的因素</w:t>
            </w:r>
          </w:p>
          <w:p>
            <w:pPr>
              <w:keepNext w:val="0"/>
              <w:keepLines w:val="0"/>
              <w:pageBreakBefore w:val="0"/>
              <w:widowControl w:val="0"/>
              <w:numPr>
                <w:ilvl w:val="0"/>
                <w:numId w:val="23"/>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分娩的概念</w:t>
            </w:r>
          </w:p>
          <w:p>
            <w:pPr>
              <w:keepNext w:val="0"/>
              <w:keepLines w:val="0"/>
              <w:pageBreakBefore w:val="0"/>
              <w:widowControl w:val="0"/>
              <w:numPr>
                <w:ilvl w:val="0"/>
                <w:numId w:val="23"/>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决定分娩的四因素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（二）枕先露的分娩机制</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（三）临产的诊断及产程分期</w:t>
            </w:r>
          </w:p>
          <w:p>
            <w:pPr>
              <w:keepNext w:val="0"/>
              <w:keepLines w:val="0"/>
              <w:pageBreakBefore w:val="0"/>
              <w:widowControl w:val="0"/>
              <w:numPr>
                <w:ilvl w:val="0"/>
                <w:numId w:val="2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先兆临产</w:t>
            </w:r>
          </w:p>
          <w:p>
            <w:pPr>
              <w:keepNext w:val="0"/>
              <w:keepLines w:val="0"/>
              <w:pageBreakBefore w:val="0"/>
              <w:widowControl w:val="0"/>
              <w:numPr>
                <w:ilvl w:val="0"/>
                <w:numId w:val="2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临产的诊断</w:t>
            </w:r>
          </w:p>
          <w:p>
            <w:pPr>
              <w:keepNext w:val="0"/>
              <w:keepLines w:val="0"/>
              <w:pageBreakBefore w:val="0"/>
              <w:widowControl w:val="0"/>
              <w:numPr>
                <w:ilvl w:val="0"/>
                <w:numId w:val="2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产程分期</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（四）分娩期产妇的护理</w:t>
            </w:r>
          </w:p>
          <w:p>
            <w:pPr>
              <w:keepNext w:val="0"/>
              <w:keepLines w:val="0"/>
              <w:pageBreakBefore w:val="0"/>
              <w:widowControl w:val="0"/>
              <w:numPr>
                <w:ilvl w:val="0"/>
                <w:numId w:val="2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第一产程护理</w:t>
            </w:r>
          </w:p>
          <w:p>
            <w:pPr>
              <w:keepNext w:val="0"/>
              <w:keepLines w:val="0"/>
              <w:pageBreakBefore w:val="0"/>
              <w:widowControl w:val="0"/>
              <w:numPr>
                <w:ilvl w:val="0"/>
                <w:numId w:val="2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第二产程护理</w:t>
            </w:r>
          </w:p>
          <w:p>
            <w:pPr>
              <w:keepNext w:val="0"/>
              <w:keepLines w:val="0"/>
              <w:pageBreakBefore w:val="0"/>
              <w:widowControl w:val="0"/>
              <w:numPr>
                <w:ilvl w:val="0"/>
                <w:numId w:val="25"/>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第三产程护理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（五）分娩镇痛及麻醉</w:t>
            </w:r>
          </w:p>
          <w:p>
            <w:pPr>
              <w:keepNext w:val="0"/>
              <w:keepLines w:val="0"/>
              <w:pageBreakBefore w:val="0"/>
              <w:widowControl w:val="0"/>
              <w:numPr>
                <w:ilvl w:val="0"/>
                <w:numId w:val="26"/>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常用方法</w:t>
            </w:r>
          </w:p>
          <w:p>
            <w:pPr>
              <w:keepNext w:val="0"/>
              <w:keepLines w:val="0"/>
              <w:pageBreakBefore w:val="0"/>
              <w:widowControl w:val="0"/>
              <w:numPr>
                <w:ilvl w:val="0"/>
                <w:numId w:val="26"/>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1134"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实践2：分娩三个产程产妇的护理训练</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训练掌握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五、正常产褥期产妇的护理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（一）产褥期母体的生理变化</w:t>
            </w:r>
          </w:p>
          <w:p>
            <w:pPr>
              <w:keepNext w:val="0"/>
              <w:keepLines w:val="0"/>
              <w:pageBreakBefore w:val="0"/>
              <w:widowControl w:val="0"/>
              <w:numPr>
                <w:ilvl w:val="0"/>
                <w:numId w:val="27"/>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产褥期的概念</w:t>
            </w:r>
          </w:p>
          <w:p>
            <w:pPr>
              <w:keepNext w:val="0"/>
              <w:keepLines w:val="0"/>
              <w:pageBreakBefore w:val="0"/>
              <w:widowControl w:val="0"/>
              <w:numPr>
                <w:ilvl w:val="0"/>
                <w:numId w:val="27"/>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产褥期各器官的生理变化</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（二）产褥期产妇的护理</w:t>
            </w:r>
          </w:p>
          <w:p>
            <w:pPr>
              <w:keepNext w:val="0"/>
              <w:keepLines w:val="0"/>
              <w:pageBreakBefore w:val="0"/>
              <w:widowControl w:val="0"/>
              <w:numPr>
                <w:ilvl w:val="0"/>
                <w:numId w:val="2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概述</w:t>
            </w:r>
          </w:p>
          <w:p>
            <w:pPr>
              <w:keepNext w:val="0"/>
              <w:keepLines w:val="0"/>
              <w:pageBreakBefore w:val="0"/>
              <w:widowControl w:val="0"/>
              <w:numPr>
                <w:ilvl w:val="0"/>
                <w:numId w:val="2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护理评估</w:t>
            </w:r>
          </w:p>
          <w:p>
            <w:pPr>
              <w:keepNext w:val="0"/>
              <w:keepLines w:val="0"/>
              <w:pageBreakBefore w:val="0"/>
              <w:widowControl w:val="0"/>
              <w:numPr>
                <w:ilvl w:val="0"/>
                <w:numId w:val="2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护理诊断、合作问题</w:t>
            </w:r>
          </w:p>
          <w:p>
            <w:pPr>
              <w:keepNext w:val="0"/>
              <w:keepLines w:val="0"/>
              <w:pageBreakBefore w:val="0"/>
              <w:widowControl w:val="0"/>
              <w:numPr>
                <w:ilvl w:val="0"/>
                <w:numId w:val="2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护理目标</w:t>
            </w:r>
          </w:p>
          <w:p>
            <w:pPr>
              <w:keepNext w:val="0"/>
              <w:keepLines w:val="0"/>
              <w:pageBreakBefore w:val="0"/>
              <w:widowControl w:val="0"/>
              <w:numPr>
                <w:ilvl w:val="0"/>
                <w:numId w:val="2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护理措施</w:t>
            </w:r>
          </w:p>
          <w:p>
            <w:pPr>
              <w:keepNext w:val="0"/>
              <w:keepLines w:val="0"/>
              <w:pageBreakBefore w:val="0"/>
              <w:widowControl w:val="0"/>
              <w:numPr>
                <w:ilvl w:val="0"/>
                <w:numId w:val="28"/>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（三）母乳喂养</w:t>
            </w:r>
          </w:p>
          <w:p>
            <w:pPr>
              <w:keepNext w:val="0"/>
              <w:keepLines w:val="0"/>
              <w:pageBreakBefore w:val="0"/>
              <w:widowControl w:val="0"/>
              <w:numPr>
                <w:ilvl w:val="0"/>
                <w:numId w:val="29"/>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纯母乳喂养的概念</w:t>
            </w:r>
          </w:p>
          <w:p>
            <w:pPr>
              <w:keepNext w:val="0"/>
              <w:keepLines w:val="0"/>
              <w:pageBreakBefore w:val="0"/>
              <w:widowControl w:val="0"/>
              <w:numPr>
                <w:ilvl w:val="0"/>
                <w:numId w:val="29"/>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母乳喂养的优点</w:t>
            </w:r>
          </w:p>
          <w:p>
            <w:pPr>
              <w:keepNext w:val="0"/>
              <w:keepLines w:val="0"/>
              <w:pageBreakBefore w:val="0"/>
              <w:widowControl w:val="0"/>
              <w:numPr>
                <w:ilvl w:val="0"/>
                <w:numId w:val="29"/>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促进母乳喂养的成功措施</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六、围生期母儿的护理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（一）概念</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（二）意义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（三）围生儿死亡原因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（四）孕产妇死亡原因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（五）措施</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atLeast"/>
        </w:trPr>
        <w:tc>
          <w:tcPr>
            <w:tcW w:w="1134"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七、异常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妊娠孕妇的护理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（一）流产</w:t>
            </w:r>
          </w:p>
          <w:p>
            <w:pPr>
              <w:keepNext w:val="0"/>
              <w:keepLines w:val="0"/>
              <w:pageBreakBefore w:val="0"/>
              <w:widowControl w:val="0"/>
              <w:numPr>
                <w:ilvl w:val="0"/>
                <w:numId w:val="3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概述</w:t>
            </w:r>
          </w:p>
          <w:p>
            <w:pPr>
              <w:keepNext w:val="0"/>
              <w:keepLines w:val="0"/>
              <w:pageBreakBefore w:val="0"/>
              <w:widowControl w:val="0"/>
              <w:numPr>
                <w:ilvl w:val="0"/>
                <w:numId w:val="3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护理评估</w:t>
            </w:r>
          </w:p>
          <w:p>
            <w:pPr>
              <w:keepNext w:val="0"/>
              <w:keepLines w:val="0"/>
              <w:pageBreakBefore w:val="0"/>
              <w:widowControl w:val="0"/>
              <w:numPr>
                <w:ilvl w:val="0"/>
                <w:numId w:val="3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护理诊断、合作问题</w:t>
            </w:r>
          </w:p>
          <w:p>
            <w:pPr>
              <w:keepNext w:val="0"/>
              <w:keepLines w:val="0"/>
              <w:pageBreakBefore w:val="0"/>
              <w:widowControl w:val="0"/>
              <w:numPr>
                <w:ilvl w:val="0"/>
                <w:numId w:val="3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护理目标</w:t>
            </w:r>
          </w:p>
          <w:p>
            <w:pPr>
              <w:keepNext w:val="0"/>
              <w:keepLines w:val="0"/>
              <w:pageBreakBefore w:val="0"/>
              <w:widowControl w:val="0"/>
              <w:numPr>
                <w:ilvl w:val="0"/>
                <w:numId w:val="3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护理措施</w:t>
            </w:r>
          </w:p>
          <w:p>
            <w:pPr>
              <w:keepNext w:val="0"/>
              <w:keepLines w:val="0"/>
              <w:pageBreakBefore w:val="0"/>
              <w:widowControl w:val="0"/>
              <w:numPr>
                <w:ilvl w:val="0"/>
                <w:numId w:val="30"/>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（二）异位妊娠</w:t>
            </w:r>
          </w:p>
          <w:p>
            <w:pPr>
              <w:keepNext w:val="0"/>
              <w:keepLines w:val="0"/>
              <w:pageBreakBefore w:val="0"/>
              <w:widowControl w:val="0"/>
              <w:numPr>
                <w:ilvl w:val="0"/>
                <w:numId w:val="3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概述</w:t>
            </w:r>
          </w:p>
          <w:p>
            <w:pPr>
              <w:keepNext w:val="0"/>
              <w:keepLines w:val="0"/>
              <w:pageBreakBefore w:val="0"/>
              <w:widowControl w:val="0"/>
              <w:numPr>
                <w:ilvl w:val="0"/>
                <w:numId w:val="3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护理评估</w:t>
            </w:r>
          </w:p>
          <w:p>
            <w:pPr>
              <w:keepNext w:val="0"/>
              <w:keepLines w:val="0"/>
              <w:pageBreakBefore w:val="0"/>
              <w:widowControl w:val="0"/>
              <w:numPr>
                <w:ilvl w:val="0"/>
                <w:numId w:val="31"/>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（三）前置胎盘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（四）胎盘早期剥离</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（五）妊娠期高血压疾病</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（六）妊娠剧吐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（七）羊水过多及多胎妊娠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（八）早产</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（九）过期妊娠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（十）高危妊娠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trPr>
        <w:tc>
          <w:tcPr>
            <w:tcW w:w="1134"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实践3：异常妊娠孕妇的护理及健康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训练掌握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八、妊娠合并症孕妇的护理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（一）妊娠合并心脏病</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（二）妊娠合并急性病毒性肝炎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（三）妊娠合并糖尿病</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（四）妊娠合并获得性免疫缺陷综合征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技能训练</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3" w:hRule="atLeast"/>
        </w:trPr>
        <w:tc>
          <w:tcPr>
            <w:tcW w:w="1134"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九、异常分娩产妇的护理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（一）产力异常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（二）产道异常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（三）胎儿异常</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134"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实践4：异常妊娠孕妇的护理训练</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训练掌握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1" w:hRule="atLeast"/>
        </w:trPr>
        <w:tc>
          <w:tcPr>
            <w:tcW w:w="1134"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十、分娩期并发症产妇的护理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（一）胎膜早破与脐带脱垂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（二）子宫破裂</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（三）产后出血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（四）羊水栓塞</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1134"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实践5：产后出血产妇的护理训练</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训练掌握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9" w:hRule="atLeast"/>
        </w:trPr>
        <w:tc>
          <w:tcPr>
            <w:tcW w:w="1134"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十一、胎儿及新生儿异常患儿的护理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（一）胎儿窘迫</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（二）新生儿窒息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（三）新生儿产伤</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1134"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实践6：新生儿窒息护理训练</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十二、异常产褥产妇的护理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（一）产褥感染</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（二）产后抑郁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十三、产科手术妇女的护理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（一）会阴切开缝合术</w:t>
            </w:r>
          </w:p>
          <w:p>
            <w:pPr>
              <w:keepNext w:val="0"/>
              <w:keepLines w:val="0"/>
              <w:pageBreakBefore w:val="0"/>
              <w:widowControl w:val="0"/>
              <w:numPr>
                <w:ilvl w:val="0"/>
                <w:numId w:val="3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适应症</w:t>
            </w:r>
          </w:p>
          <w:p>
            <w:pPr>
              <w:keepNext w:val="0"/>
              <w:keepLines w:val="0"/>
              <w:pageBreakBefore w:val="0"/>
              <w:widowControl w:val="0"/>
              <w:numPr>
                <w:ilvl w:val="0"/>
                <w:numId w:val="3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术前用物准备</w:t>
            </w:r>
          </w:p>
          <w:p>
            <w:pPr>
              <w:keepNext w:val="0"/>
              <w:keepLines w:val="0"/>
              <w:pageBreakBefore w:val="0"/>
              <w:widowControl w:val="0"/>
              <w:numPr>
                <w:ilvl w:val="0"/>
                <w:numId w:val="3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操作步骤</w:t>
            </w:r>
          </w:p>
          <w:p>
            <w:pPr>
              <w:keepNext w:val="0"/>
              <w:keepLines w:val="0"/>
              <w:pageBreakBefore w:val="0"/>
              <w:widowControl w:val="0"/>
              <w:numPr>
                <w:ilvl w:val="0"/>
                <w:numId w:val="32"/>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（二）胎头吸引术与产钳术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1.适应症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2.术前用物准备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3.操作步骤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4.护理措施</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trPr>
        <w:tc>
          <w:tcPr>
            <w:tcW w:w="1134"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十四、妇科病史及检查配合</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（一）妇科病史的特点</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（二）妇科检查及护理配合</w:t>
            </w:r>
          </w:p>
          <w:p>
            <w:pPr>
              <w:keepNext w:val="0"/>
              <w:keepLines w:val="0"/>
              <w:pageBreakBefore w:val="0"/>
              <w:widowControl w:val="0"/>
              <w:numPr>
                <w:ilvl w:val="0"/>
                <w:numId w:val="33"/>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注意事项</w:t>
            </w:r>
          </w:p>
          <w:p>
            <w:pPr>
              <w:keepNext w:val="0"/>
              <w:keepLines w:val="0"/>
              <w:pageBreakBefore w:val="0"/>
              <w:widowControl w:val="0"/>
              <w:numPr>
                <w:ilvl w:val="0"/>
                <w:numId w:val="33"/>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检查方法及步骤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（三）妇科常用特殊检查的护理配合</w:t>
            </w:r>
          </w:p>
          <w:p>
            <w:pPr>
              <w:keepNext w:val="0"/>
              <w:keepLines w:val="0"/>
              <w:pageBreakBefore w:val="0"/>
              <w:widowControl w:val="0"/>
              <w:numPr>
                <w:ilvl w:val="0"/>
                <w:numId w:val="3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阴道分泌物悬滴检查</w:t>
            </w:r>
          </w:p>
          <w:p>
            <w:pPr>
              <w:keepNext w:val="0"/>
              <w:keepLines w:val="0"/>
              <w:pageBreakBefore w:val="0"/>
              <w:widowControl w:val="0"/>
              <w:numPr>
                <w:ilvl w:val="0"/>
                <w:numId w:val="3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阴道脱落细胞检查</w:t>
            </w:r>
          </w:p>
          <w:p>
            <w:pPr>
              <w:keepNext w:val="0"/>
              <w:keepLines w:val="0"/>
              <w:pageBreakBefore w:val="0"/>
              <w:widowControl w:val="0"/>
              <w:numPr>
                <w:ilvl w:val="0"/>
                <w:numId w:val="3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宫颈或颈管活体组织检查</w:t>
            </w:r>
          </w:p>
          <w:p>
            <w:pPr>
              <w:keepNext w:val="0"/>
              <w:keepLines w:val="0"/>
              <w:pageBreakBefore w:val="0"/>
              <w:widowControl w:val="0"/>
              <w:numPr>
                <w:ilvl w:val="0"/>
                <w:numId w:val="3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诊断性刮宫</w:t>
            </w:r>
          </w:p>
          <w:p>
            <w:pPr>
              <w:keepNext w:val="0"/>
              <w:keepLines w:val="0"/>
              <w:pageBreakBefore w:val="0"/>
              <w:widowControl w:val="0"/>
              <w:numPr>
                <w:ilvl w:val="0"/>
                <w:numId w:val="3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基础体温测定</w:t>
            </w:r>
          </w:p>
          <w:p>
            <w:pPr>
              <w:keepNext w:val="0"/>
              <w:keepLines w:val="0"/>
              <w:pageBreakBefore w:val="0"/>
              <w:widowControl w:val="0"/>
              <w:numPr>
                <w:ilvl w:val="0"/>
                <w:numId w:val="3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输卵管通畅检查</w:t>
            </w:r>
          </w:p>
          <w:p>
            <w:pPr>
              <w:keepNext w:val="0"/>
              <w:keepLines w:val="0"/>
              <w:pageBreakBefore w:val="0"/>
              <w:widowControl w:val="0"/>
              <w:numPr>
                <w:ilvl w:val="0"/>
                <w:numId w:val="3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后穹隆穿刺术</w:t>
            </w:r>
          </w:p>
          <w:p>
            <w:pPr>
              <w:keepNext w:val="0"/>
              <w:keepLines w:val="0"/>
              <w:pageBreakBefore w:val="0"/>
              <w:widowControl w:val="0"/>
              <w:numPr>
                <w:ilvl w:val="0"/>
                <w:numId w:val="3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超声波检查</w:t>
            </w:r>
          </w:p>
          <w:p>
            <w:pPr>
              <w:keepNext w:val="0"/>
              <w:keepLines w:val="0"/>
              <w:pageBreakBefore w:val="0"/>
              <w:widowControl w:val="0"/>
              <w:numPr>
                <w:ilvl w:val="0"/>
                <w:numId w:val="34"/>
              </w:numPr>
              <w:kinsoku/>
              <w:wordWrap/>
              <w:overflowPunct/>
              <w:topLinePunct w:val="0"/>
              <w:bidi w:val="0"/>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腹腔镜技术</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见习</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1134"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实践7：妇科检查的护理训练</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学会</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十五、女性生殖系统炎症妇女的护理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（一）概述</w:t>
            </w:r>
          </w:p>
          <w:p>
            <w:pPr>
              <w:keepNext w:val="0"/>
              <w:keepLines w:val="0"/>
              <w:pageBreakBefore w:val="0"/>
              <w:widowControl w:val="0"/>
              <w:numPr>
                <w:ilvl w:val="0"/>
                <w:numId w:val="35"/>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女性生殖系统解剖及生理防御功能</w:t>
            </w:r>
          </w:p>
          <w:p>
            <w:pPr>
              <w:keepNext w:val="0"/>
              <w:keepLines w:val="0"/>
              <w:pageBreakBefore w:val="0"/>
              <w:widowControl w:val="0"/>
              <w:numPr>
                <w:ilvl w:val="0"/>
                <w:numId w:val="35"/>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病原体</w:t>
            </w:r>
          </w:p>
          <w:p>
            <w:pPr>
              <w:keepNext w:val="0"/>
              <w:keepLines w:val="0"/>
              <w:pageBreakBefore w:val="0"/>
              <w:widowControl w:val="0"/>
              <w:numPr>
                <w:ilvl w:val="0"/>
                <w:numId w:val="35"/>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传染途径</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（二）阴道炎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（三）慢性子宫颈炎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（四）慢性盆腔炎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十六、女性生殖系统肿瘤妇女的护理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（一）子宫颈癌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（二）子宫肌瘤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（三）子宫内膜癌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（四）卵巢肿瘤</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（五）妇科手术妇女的护理</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6"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十七、妊娠滋养细胞疾病妇女的护理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（一）葡萄胎</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（二）侵蚀性葡萄胎与绒毛膜癌</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十八、月经失调妇女的护理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（一）功能失调性子宫出血</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（二）闭经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（三）痛经</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（四）围绝经期综合征</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1.概述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2.护理评估</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3.护理诊断、合作问题</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4.护理目标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5.护理措施</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6.护理评价</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案例分析</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十九、妇科其他疾病妇女的护理</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（一）子宫内膜异位症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（二）不孕症</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（三）子宫脱垂</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trPr>
        <w:tc>
          <w:tcPr>
            <w:tcW w:w="1134" w:type="dxa"/>
            <w:vMerge w:val="restart"/>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二十、妇科常用局部护理技术</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（一）会阴擦洗</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（二）阴道灌洗</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（三）会阴湿热敷</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（四）阴道或宫颈上药</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（五）坐浴</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4" w:hRule="atLeast"/>
        </w:trPr>
        <w:tc>
          <w:tcPr>
            <w:tcW w:w="1134" w:type="dxa"/>
            <w:vMerge w:val="continue"/>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实践8：妇科常用护理技术训练</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熟练掌握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技能实践</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13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二十一、计划生育及妇女保健</w:t>
            </w:r>
          </w:p>
        </w:tc>
        <w:tc>
          <w:tcPr>
            <w:tcW w:w="413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（一）计划生育</w:t>
            </w:r>
          </w:p>
          <w:p>
            <w:pPr>
              <w:keepNext w:val="0"/>
              <w:keepLines w:val="0"/>
              <w:pageBreakBefore w:val="0"/>
              <w:widowControl w:val="0"/>
              <w:numPr>
                <w:ilvl w:val="0"/>
                <w:numId w:val="3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概述</w:t>
            </w:r>
          </w:p>
          <w:p>
            <w:pPr>
              <w:keepNext w:val="0"/>
              <w:keepLines w:val="0"/>
              <w:pageBreakBefore w:val="0"/>
              <w:widowControl w:val="0"/>
              <w:numPr>
                <w:ilvl w:val="0"/>
                <w:numId w:val="3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避孕</w:t>
            </w:r>
          </w:p>
          <w:p>
            <w:pPr>
              <w:keepNext w:val="0"/>
              <w:keepLines w:val="0"/>
              <w:pageBreakBefore w:val="0"/>
              <w:widowControl w:val="0"/>
              <w:numPr>
                <w:ilvl w:val="0"/>
                <w:numId w:val="3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绝育</w:t>
            </w:r>
          </w:p>
          <w:p>
            <w:pPr>
              <w:keepNext w:val="0"/>
              <w:keepLines w:val="0"/>
              <w:pageBreakBefore w:val="0"/>
              <w:widowControl w:val="0"/>
              <w:numPr>
                <w:ilvl w:val="0"/>
                <w:numId w:val="36"/>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人工终止妊娠</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（二）妇女保健</w:t>
            </w:r>
          </w:p>
          <w:p>
            <w:pPr>
              <w:keepNext w:val="0"/>
              <w:keepLines w:val="0"/>
              <w:pageBreakBefore w:val="0"/>
              <w:widowControl w:val="0"/>
              <w:numPr>
                <w:ilvl w:val="0"/>
                <w:numId w:val="37"/>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妇女保健工作任务</w:t>
            </w:r>
          </w:p>
          <w:p>
            <w:pPr>
              <w:keepNext w:val="0"/>
              <w:keepLines w:val="0"/>
              <w:pageBreakBefore w:val="0"/>
              <w:widowControl w:val="0"/>
              <w:numPr>
                <w:ilvl w:val="0"/>
                <w:numId w:val="37"/>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妇女保健机构</w:t>
            </w:r>
          </w:p>
          <w:p>
            <w:pPr>
              <w:keepNext w:val="0"/>
              <w:keepLines w:val="0"/>
              <w:pageBreakBefore w:val="0"/>
              <w:widowControl w:val="0"/>
              <w:numPr>
                <w:ilvl w:val="0"/>
                <w:numId w:val="37"/>
              </w:numPr>
              <w:kinsoku/>
              <w:wordWrap/>
              <w:overflowPunct/>
              <w:topLinePunct w:val="0"/>
              <w:bidi w:val="0"/>
              <w:spacing w:line="360" w:lineRule="auto"/>
              <w:ind w:left="720" w:hanging="7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妇女各期保健</w:t>
            </w:r>
          </w:p>
        </w:tc>
        <w:tc>
          <w:tcPr>
            <w:tcW w:w="1224"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熟悉</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了解</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掌握</w:t>
            </w:r>
          </w:p>
        </w:tc>
        <w:tc>
          <w:tcPr>
            <w:tcW w:w="141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理论讲授</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多媒体演示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讨论</w:t>
            </w:r>
          </w:p>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示教</w:t>
            </w:r>
          </w:p>
        </w:tc>
        <w:tc>
          <w:tcPr>
            <w:tcW w:w="708"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09" w:type="dxa"/>
            <w:noWrap w:val="0"/>
            <w:vAlign w:val="top"/>
          </w:tcPr>
          <w:p>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4"/>
                <w:szCs w:val="24"/>
              </w:rPr>
            </w:pPr>
          </w:p>
        </w:tc>
      </w:tr>
    </w:tbl>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69" w:name="_Toc3319"/>
      <w:r>
        <w:rPr>
          <w:rFonts w:hint="eastAsia" w:ascii="宋体" w:hAnsi="宋体" w:eastAsia="宋体" w:cs="宋体"/>
          <w:sz w:val="24"/>
          <w:szCs w:val="24"/>
          <w:lang w:eastAsia="zh-CN"/>
        </w:rPr>
        <w:t>四、实施建议</w:t>
      </w:r>
      <w:bookmarkEnd w:id="6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本课程的教学必须重视理论和实践相结合，学好理论课的同时应该重视临床实践的学习。教师在课堂上以启发式教学为指导思想，结合课堂讨论、学生自学等方法进行，同时辅助电化教学、实验实习操作课及病例讲解来逐步提高学生理论联系实际的基本能力。实践分为实验室实习或示教和临床见习两部分进行。由于条件所限，在保证完成实习的前提下，可用多种方式达到实习目的。实践教学应充分调动学生学习的主动性、积极性，训练学生的活动能力和人际沟通能力，注意学生护士素质和专业形象的培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2．学生的知识水平和能力水平，应通过平时测验、提问、模拟实践联系、实验课表现和考试等多种形式综合考评。</w:t>
      </w:r>
    </w:p>
    <w:p>
      <w:pPr>
        <w:keepNext w:val="0"/>
        <w:keepLines w:val="0"/>
        <w:pageBreakBefore w:val="0"/>
        <w:numPr>
          <w:ilvl w:val="0"/>
          <w:numId w:val="0"/>
        </w:numPr>
        <w:kinsoku/>
        <w:wordWrap/>
        <w:overflowPunct/>
        <w:topLinePunct w:val="0"/>
        <w:bidi w:val="0"/>
        <w:spacing w:line="360" w:lineRule="auto"/>
        <w:textAlignment w:val="auto"/>
        <w:outlineLvl w:val="1"/>
        <w:rPr>
          <w:rFonts w:hint="eastAsia" w:ascii="宋体" w:hAnsi="宋体" w:eastAsia="宋体" w:cs="宋体"/>
          <w:sz w:val="24"/>
          <w:szCs w:val="24"/>
          <w:lang w:eastAsia="zh-CN"/>
        </w:rPr>
      </w:pPr>
      <w:bookmarkStart w:id="70" w:name="_Toc7641"/>
      <w:r>
        <w:rPr>
          <w:rFonts w:hint="eastAsia" w:ascii="宋体" w:hAnsi="宋体" w:eastAsia="宋体" w:cs="宋体"/>
          <w:sz w:val="24"/>
          <w:szCs w:val="24"/>
          <w:lang w:eastAsia="zh-CN"/>
        </w:rPr>
        <w:t>五、教学要求</w:t>
      </w:r>
      <w:bookmarkEnd w:id="7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（一）教材编写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本书编写遵循“以服务为宗旨、以就业为导向、以岗位需求为标准”的职业教育指导思想，力求定位准确突出“三基”，坚持“五性”，以提高学生的职业能力、职业道德、创业能力和创新精神为主要目标，力求作到整体结构优化，深度与广度适当，突出“以人为中心”的服务宗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坚持以护理程序为框架，在强化妇产科专科护理知识的同时，力求简化医疗知识，淡化专科意识，体现新的教学改革思想，构建符合时代发展需求、科学合理的知识结构体系。特别注重培养学生的综合素质和创新能力，加强学生实践能力和职业行为规范的培养，使学生的知识结构与临床护理需求相适应，在临床实践中能正确应用护理程序科学管理病人，促进整体化护理工作的开展，以单纯的“护理疾病”发展为“保障人类健康”，为生命各阶段不同健康状况的护理提供全方位的优质护理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3．教材以学生为本，文字通俗、表达简练，内容展现应图文并茂，图列与案例应引起学生的兴趣，重在提高学生学习的主动性和积极性。</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（二）教学条件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专业教师应定期深入护理工作一线，提高自己的技术水平和实践能力。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专业课教师中，应有1或2名学科带头人。学科带头人应具备本科及以上学历、具备高级职称任职资格，在当地护理行业具有较高的知名度与影响力，教学研究和科研能力素质优秀，具有丰富的专业理论与实践教学经历，在学校护理专业的建设与发展中发挥着良好的引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建立稳定的行业专家兼职教师队伍，兼职教师应具备本科及以上学历，具有中级以上技术支撑和丰富的临床工作经验，具有良好的职业道德素养。对护理专业教学与人才培养目标有清晰的研究和认识，在学校教学及对专任教师的指导等专业建设与发展中起到重要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专任教师应具有相关专业本科及以上学历，并具有中等职业学校教师资格证书、相关执业资格证书。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（三）教学评价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1.学校评价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（1）学生学业评价采取过程性评价与目标考核相结合，评价中注重过程性、激励性和发展性。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（2）素质评价主要由班主任、学生处、保卫科、团委组成，对学生的纪律、文明素养、参加社团活动、健康状况等进行综合评价。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2.行业评价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行业评价以技能等级鉴定为主线，将这条主线贯穿于专业理论和技能教学的全过程，鉴定标准为国家标准获行业标准。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3.医院评价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医院评价包含以下几方面：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（1）医院专家到校上课，对学生的知识和技能掌握情况进行评价。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（2）医院带教老师对学生到医院学习的评价。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（3）医院带教老师对学生到医院顶岗实习的评价。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以上评价模式均以学分制为实施工具进行具体操作。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（四）教学资源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1．模型      2.电子教案     3.PPT</w:t>
      </w:r>
      <w:bookmarkStart w:id="71" w:name="_GoBack"/>
      <w:bookmarkEnd w:id="71"/>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9F4713"/>
    <w:multiLevelType w:val="singleLevel"/>
    <w:tmpl w:val="D99F4713"/>
    <w:lvl w:ilvl="0" w:tentative="0">
      <w:start w:val="1"/>
      <w:numFmt w:val="chineseCounting"/>
      <w:suff w:val="nothing"/>
      <w:lvlText w:val="（%1）"/>
      <w:lvlJc w:val="left"/>
      <w:rPr>
        <w:rFonts w:hint="eastAsia"/>
      </w:rPr>
    </w:lvl>
  </w:abstractNum>
  <w:abstractNum w:abstractNumId="1">
    <w:nsid w:val="FB851173"/>
    <w:multiLevelType w:val="singleLevel"/>
    <w:tmpl w:val="FB851173"/>
    <w:lvl w:ilvl="0" w:tentative="0">
      <w:start w:val="1"/>
      <w:numFmt w:val="chineseCounting"/>
      <w:suff w:val="nothing"/>
      <w:lvlText w:val="（%1）"/>
      <w:lvlJc w:val="left"/>
      <w:rPr>
        <w:rFonts w:hint="eastAsia"/>
      </w:rPr>
    </w:lvl>
  </w:abstractNum>
  <w:abstractNum w:abstractNumId="2">
    <w:nsid w:val="1A693EA7"/>
    <w:multiLevelType w:val="singleLevel"/>
    <w:tmpl w:val="1A693EA7"/>
    <w:lvl w:ilvl="0" w:tentative="0">
      <w:start w:val="3"/>
      <w:numFmt w:val="chineseCounting"/>
      <w:suff w:val="nothing"/>
      <w:lvlText w:val="%1、"/>
      <w:lvlJc w:val="left"/>
      <w:rPr>
        <w:rFonts w:hint="eastAsia"/>
      </w:rPr>
    </w:lvl>
  </w:abstractNum>
  <w:abstractNum w:abstractNumId="3">
    <w:nsid w:val="402934C4"/>
    <w:multiLevelType w:val="multilevel"/>
    <w:tmpl w:val="402934C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11212F9"/>
    <w:multiLevelType w:val="multilevel"/>
    <w:tmpl w:val="411212F9"/>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C0004B"/>
    <w:multiLevelType w:val="multilevel"/>
    <w:tmpl w:val="49C0004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652C66"/>
    <w:multiLevelType w:val="multilevel"/>
    <w:tmpl w:val="4F652C6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19F0658"/>
    <w:multiLevelType w:val="multilevel"/>
    <w:tmpl w:val="519F06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4519C14"/>
    <w:multiLevelType w:val="singleLevel"/>
    <w:tmpl w:val="54519C14"/>
    <w:lvl w:ilvl="0" w:tentative="0">
      <w:start w:val="4"/>
      <w:numFmt w:val="chineseCounting"/>
      <w:suff w:val="nothing"/>
      <w:lvlText w:val="（%1）"/>
      <w:lvlJc w:val="left"/>
    </w:lvl>
  </w:abstractNum>
  <w:abstractNum w:abstractNumId="9">
    <w:nsid w:val="5451D4FF"/>
    <w:multiLevelType w:val="singleLevel"/>
    <w:tmpl w:val="5451D4FF"/>
    <w:lvl w:ilvl="0" w:tentative="0">
      <w:start w:val="15"/>
      <w:numFmt w:val="chineseCounting"/>
      <w:suff w:val="nothing"/>
      <w:lvlText w:val="（%1）"/>
      <w:lvlJc w:val="left"/>
    </w:lvl>
  </w:abstractNum>
  <w:abstractNum w:abstractNumId="10">
    <w:nsid w:val="5451D515"/>
    <w:multiLevelType w:val="singleLevel"/>
    <w:tmpl w:val="5451D515"/>
    <w:lvl w:ilvl="0" w:tentative="0">
      <w:start w:val="1"/>
      <w:numFmt w:val="decimal"/>
      <w:suff w:val="nothing"/>
      <w:lvlText w:val="%1、"/>
      <w:lvlJc w:val="left"/>
    </w:lvl>
  </w:abstractNum>
  <w:abstractNum w:abstractNumId="11">
    <w:nsid w:val="5451DBDA"/>
    <w:multiLevelType w:val="singleLevel"/>
    <w:tmpl w:val="5451DBDA"/>
    <w:lvl w:ilvl="0" w:tentative="0">
      <w:start w:val="1"/>
      <w:numFmt w:val="decimal"/>
      <w:suff w:val="nothing"/>
      <w:lvlText w:val="%1."/>
      <w:lvlJc w:val="left"/>
    </w:lvl>
  </w:abstractNum>
  <w:abstractNum w:abstractNumId="12">
    <w:nsid w:val="5451DCD3"/>
    <w:multiLevelType w:val="singleLevel"/>
    <w:tmpl w:val="5451DCD3"/>
    <w:lvl w:ilvl="0" w:tentative="0">
      <w:start w:val="1"/>
      <w:numFmt w:val="decimal"/>
      <w:suff w:val="nothing"/>
      <w:lvlText w:val="%1."/>
      <w:lvlJc w:val="left"/>
    </w:lvl>
  </w:abstractNum>
  <w:abstractNum w:abstractNumId="13">
    <w:nsid w:val="5451DD11"/>
    <w:multiLevelType w:val="singleLevel"/>
    <w:tmpl w:val="5451DD11"/>
    <w:lvl w:ilvl="0" w:tentative="0">
      <w:start w:val="1"/>
      <w:numFmt w:val="decimal"/>
      <w:suff w:val="nothing"/>
      <w:lvlText w:val="%1."/>
      <w:lvlJc w:val="left"/>
    </w:lvl>
  </w:abstractNum>
  <w:abstractNum w:abstractNumId="14">
    <w:nsid w:val="5451DE2C"/>
    <w:multiLevelType w:val="singleLevel"/>
    <w:tmpl w:val="5451DE2C"/>
    <w:lvl w:ilvl="0" w:tentative="0">
      <w:start w:val="1"/>
      <w:numFmt w:val="decimal"/>
      <w:suff w:val="nothing"/>
      <w:lvlText w:val="%1."/>
      <w:lvlJc w:val="left"/>
    </w:lvl>
  </w:abstractNum>
  <w:abstractNum w:abstractNumId="15">
    <w:nsid w:val="5451DE78"/>
    <w:multiLevelType w:val="singleLevel"/>
    <w:tmpl w:val="5451DE78"/>
    <w:lvl w:ilvl="0" w:tentative="0">
      <w:start w:val="1"/>
      <w:numFmt w:val="decimal"/>
      <w:suff w:val="nothing"/>
      <w:lvlText w:val="%1."/>
      <w:lvlJc w:val="left"/>
    </w:lvl>
  </w:abstractNum>
  <w:abstractNum w:abstractNumId="16">
    <w:nsid w:val="5451DEB2"/>
    <w:multiLevelType w:val="singleLevel"/>
    <w:tmpl w:val="5451DEB2"/>
    <w:lvl w:ilvl="0" w:tentative="0">
      <w:start w:val="1"/>
      <w:numFmt w:val="decimal"/>
      <w:suff w:val="nothing"/>
      <w:lvlText w:val="%1."/>
      <w:lvlJc w:val="left"/>
    </w:lvl>
  </w:abstractNum>
  <w:abstractNum w:abstractNumId="17">
    <w:nsid w:val="5451DEDC"/>
    <w:multiLevelType w:val="singleLevel"/>
    <w:tmpl w:val="5451DEDC"/>
    <w:lvl w:ilvl="0" w:tentative="0">
      <w:start w:val="1"/>
      <w:numFmt w:val="decimal"/>
      <w:suff w:val="nothing"/>
      <w:lvlText w:val="%1."/>
      <w:lvlJc w:val="left"/>
    </w:lvl>
  </w:abstractNum>
  <w:abstractNum w:abstractNumId="18">
    <w:nsid w:val="5451DF2E"/>
    <w:multiLevelType w:val="singleLevel"/>
    <w:tmpl w:val="5451DF2E"/>
    <w:lvl w:ilvl="0" w:tentative="0">
      <w:start w:val="1"/>
      <w:numFmt w:val="decimal"/>
      <w:suff w:val="nothing"/>
      <w:lvlText w:val="%1."/>
      <w:lvlJc w:val="left"/>
    </w:lvl>
  </w:abstractNum>
  <w:abstractNum w:abstractNumId="19">
    <w:nsid w:val="5451DFA0"/>
    <w:multiLevelType w:val="singleLevel"/>
    <w:tmpl w:val="5451DFA0"/>
    <w:lvl w:ilvl="0" w:tentative="0">
      <w:start w:val="1"/>
      <w:numFmt w:val="decimal"/>
      <w:suff w:val="nothing"/>
      <w:lvlText w:val="%1."/>
      <w:lvlJc w:val="left"/>
    </w:lvl>
  </w:abstractNum>
  <w:abstractNum w:abstractNumId="20">
    <w:nsid w:val="5451E0FD"/>
    <w:multiLevelType w:val="singleLevel"/>
    <w:tmpl w:val="5451E0FD"/>
    <w:lvl w:ilvl="0" w:tentative="0">
      <w:start w:val="1"/>
      <w:numFmt w:val="decimal"/>
      <w:suff w:val="nothing"/>
      <w:lvlText w:val="%1."/>
      <w:lvlJc w:val="left"/>
    </w:lvl>
  </w:abstractNum>
  <w:abstractNum w:abstractNumId="21">
    <w:nsid w:val="5451E156"/>
    <w:multiLevelType w:val="singleLevel"/>
    <w:tmpl w:val="5451E156"/>
    <w:lvl w:ilvl="0" w:tentative="0">
      <w:start w:val="1"/>
      <w:numFmt w:val="decimal"/>
      <w:suff w:val="nothing"/>
      <w:lvlText w:val="%1."/>
      <w:lvlJc w:val="left"/>
    </w:lvl>
  </w:abstractNum>
  <w:abstractNum w:abstractNumId="22">
    <w:nsid w:val="5451E187"/>
    <w:multiLevelType w:val="singleLevel"/>
    <w:tmpl w:val="5451E187"/>
    <w:lvl w:ilvl="0" w:tentative="0">
      <w:start w:val="1"/>
      <w:numFmt w:val="decimal"/>
      <w:suff w:val="nothing"/>
      <w:lvlText w:val="%1."/>
      <w:lvlJc w:val="left"/>
    </w:lvl>
  </w:abstractNum>
  <w:abstractNum w:abstractNumId="23">
    <w:nsid w:val="5451E1C1"/>
    <w:multiLevelType w:val="singleLevel"/>
    <w:tmpl w:val="5451E1C1"/>
    <w:lvl w:ilvl="0" w:tentative="0">
      <w:start w:val="1"/>
      <w:numFmt w:val="decimal"/>
      <w:suff w:val="nothing"/>
      <w:lvlText w:val="%1."/>
      <w:lvlJc w:val="left"/>
    </w:lvl>
  </w:abstractNum>
  <w:abstractNum w:abstractNumId="24">
    <w:nsid w:val="5451E259"/>
    <w:multiLevelType w:val="singleLevel"/>
    <w:tmpl w:val="5451E259"/>
    <w:lvl w:ilvl="0" w:tentative="0">
      <w:start w:val="1"/>
      <w:numFmt w:val="decimal"/>
      <w:suff w:val="nothing"/>
      <w:lvlText w:val="%1."/>
      <w:lvlJc w:val="left"/>
    </w:lvl>
  </w:abstractNum>
  <w:abstractNum w:abstractNumId="25">
    <w:nsid w:val="5451E2B7"/>
    <w:multiLevelType w:val="singleLevel"/>
    <w:tmpl w:val="5451E2B7"/>
    <w:lvl w:ilvl="0" w:tentative="0">
      <w:start w:val="1"/>
      <w:numFmt w:val="decimal"/>
      <w:suff w:val="nothing"/>
      <w:lvlText w:val="%1."/>
      <w:lvlJc w:val="left"/>
    </w:lvl>
  </w:abstractNum>
  <w:abstractNum w:abstractNumId="26">
    <w:nsid w:val="5451E342"/>
    <w:multiLevelType w:val="singleLevel"/>
    <w:tmpl w:val="5451E342"/>
    <w:lvl w:ilvl="0" w:tentative="0">
      <w:start w:val="1"/>
      <w:numFmt w:val="decimal"/>
      <w:suff w:val="nothing"/>
      <w:lvlText w:val="%1."/>
      <w:lvlJc w:val="left"/>
    </w:lvl>
  </w:abstractNum>
  <w:abstractNum w:abstractNumId="27">
    <w:nsid w:val="5451E4C4"/>
    <w:multiLevelType w:val="singleLevel"/>
    <w:tmpl w:val="5451E4C4"/>
    <w:lvl w:ilvl="0" w:tentative="0">
      <w:start w:val="1"/>
      <w:numFmt w:val="decimal"/>
      <w:suff w:val="nothing"/>
      <w:lvlText w:val="%1."/>
      <w:lvlJc w:val="left"/>
    </w:lvl>
  </w:abstractNum>
  <w:abstractNum w:abstractNumId="28">
    <w:nsid w:val="5451E509"/>
    <w:multiLevelType w:val="singleLevel"/>
    <w:tmpl w:val="5451E509"/>
    <w:lvl w:ilvl="0" w:tentative="0">
      <w:start w:val="1"/>
      <w:numFmt w:val="decimal"/>
      <w:suff w:val="nothing"/>
      <w:lvlText w:val="%1."/>
      <w:lvlJc w:val="left"/>
    </w:lvl>
  </w:abstractNum>
  <w:abstractNum w:abstractNumId="29">
    <w:nsid w:val="5451EC39"/>
    <w:multiLevelType w:val="singleLevel"/>
    <w:tmpl w:val="5451EC39"/>
    <w:lvl w:ilvl="0" w:tentative="0">
      <w:start w:val="1"/>
      <w:numFmt w:val="decimal"/>
      <w:suff w:val="nothing"/>
      <w:lvlText w:val="%1."/>
      <w:lvlJc w:val="left"/>
    </w:lvl>
  </w:abstractNum>
  <w:abstractNum w:abstractNumId="30">
    <w:nsid w:val="5451ED70"/>
    <w:multiLevelType w:val="singleLevel"/>
    <w:tmpl w:val="5451ED70"/>
    <w:lvl w:ilvl="0" w:tentative="0">
      <w:start w:val="1"/>
      <w:numFmt w:val="decimal"/>
      <w:suff w:val="nothing"/>
      <w:lvlText w:val="%1."/>
      <w:lvlJc w:val="left"/>
    </w:lvl>
  </w:abstractNum>
  <w:abstractNum w:abstractNumId="31">
    <w:nsid w:val="5451EDB9"/>
    <w:multiLevelType w:val="singleLevel"/>
    <w:tmpl w:val="5451EDB9"/>
    <w:lvl w:ilvl="0" w:tentative="0">
      <w:start w:val="1"/>
      <w:numFmt w:val="decimal"/>
      <w:suff w:val="nothing"/>
      <w:lvlText w:val="%1."/>
      <w:lvlJc w:val="left"/>
    </w:lvl>
  </w:abstractNum>
  <w:abstractNum w:abstractNumId="32">
    <w:nsid w:val="5451EE97"/>
    <w:multiLevelType w:val="singleLevel"/>
    <w:tmpl w:val="5451EE97"/>
    <w:lvl w:ilvl="0" w:tentative="0">
      <w:start w:val="1"/>
      <w:numFmt w:val="decimal"/>
      <w:suff w:val="nothing"/>
      <w:lvlText w:val="%1."/>
      <w:lvlJc w:val="left"/>
    </w:lvl>
  </w:abstractNum>
  <w:abstractNum w:abstractNumId="33">
    <w:nsid w:val="5451F1F2"/>
    <w:multiLevelType w:val="singleLevel"/>
    <w:tmpl w:val="5451F1F2"/>
    <w:lvl w:ilvl="0" w:tentative="0">
      <w:start w:val="1"/>
      <w:numFmt w:val="decimal"/>
      <w:suff w:val="nothing"/>
      <w:lvlText w:val="%1."/>
      <w:lvlJc w:val="left"/>
    </w:lvl>
  </w:abstractNum>
  <w:abstractNum w:abstractNumId="34">
    <w:nsid w:val="5451F256"/>
    <w:multiLevelType w:val="singleLevel"/>
    <w:tmpl w:val="5451F256"/>
    <w:lvl w:ilvl="0" w:tentative="0">
      <w:start w:val="1"/>
      <w:numFmt w:val="decimal"/>
      <w:suff w:val="nothing"/>
      <w:lvlText w:val="%1."/>
      <w:lvlJc w:val="left"/>
    </w:lvl>
  </w:abstractNum>
  <w:abstractNum w:abstractNumId="35">
    <w:nsid w:val="59834490"/>
    <w:multiLevelType w:val="multilevel"/>
    <w:tmpl w:val="598344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5E535916"/>
    <w:multiLevelType w:val="multilevel"/>
    <w:tmpl w:val="5E53591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10"/>
  </w:num>
  <w:num w:numId="9">
    <w:abstractNumId w:val="4"/>
  </w:num>
  <w:num w:numId="10">
    <w:abstractNumId w:val="7"/>
  </w:num>
  <w:num w:numId="11">
    <w:abstractNumId w:val="5"/>
  </w:num>
  <w:num w:numId="12">
    <w:abstractNumId w:val="36"/>
  </w:num>
  <w:num w:numId="13">
    <w:abstractNumId w:val="35"/>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673C"/>
    <w:rsid w:val="0C4D71B1"/>
    <w:rsid w:val="5124346E"/>
    <w:rsid w:val="6F52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320"/>
        <w:tab w:val="right" w:pos="8640"/>
      </w:tabs>
      <w:snapToGrid w:val="0"/>
      <w:jc w:val="left"/>
    </w:pPr>
    <w:rPr>
      <w:rFonts w:eastAsia="仿宋_GB2312"/>
      <w:kern w:val="2"/>
      <w:sz w:val="18"/>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rFonts w:eastAsia="仿宋_GB2312"/>
      <w:kern w:val="2"/>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styleId="10">
    <w:name w:val="page number"/>
    <w:basedOn w:val="9"/>
    <w:qFormat/>
    <w:uiPriority w:val="99"/>
  </w:style>
  <w:style w:type="paragraph" w:customStyle="1" w:styleId="11">
    <w:name w:val="样式1"/>
    <w:basedOn w:val="1"/>
    <w:qFormat/>
    <w:uiPriority w:val="0"/>
    <w:rPr>
      <w:rFonts w:asciiTheme="minorAscii" w:hAnsiTheme="minorAscii"/>
      <w:b/>
      <w:sz w:val="28"/>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冰静</cp:lastModifiedBy>
  <dcterms:modified xsi:type="dcterms:W3CDTF">2019-10-16T15:15:23Z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